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094" w:rsidRDefault="00CA7094" w:rsidP="00B83A63">
      <w:pPr>
        <w:rPr>
          <w:u w:val="single"/>
        </w:rPr>
      </w:pPr>
      <w:r>
        <w:rPr>
          <w:b/>
          <w:bCs/>
        </w:rPr>
        <w:t xml:space="preserve">                                                                                                                                  </w:t>
      </w:r>
      <w:r>
        <w:rPr>
          <w:u w:val="single"/>
        </w:rPr>
        <w:t>Vedlegg</w:t>
      </w:r>
    </w:p>
    <w:p w:rsidR="00CA7094" w:rsidRDefault="00CA7094" w:rsidP="00B83A63">
      <w:pPr>
        <w:rPr>
          <w:u w:val="single"/>
        </w:rPr>
      </w:pPr>
    </w:p>
    <w:p w:rsidR="00CA7094" w:rsidRDefault="00CA7094" w:rsidP="00B83A63">
      <w:pPr>
        <w:rPr>
          <w:b/>
          <w:bCs/>
          <w:u w:val="single"/>
        </w:rPr>
      </w:pPr>
      <w:r>
        <w:rPr>
          <w:b/>
          <w:bCs/>
          <w:u w:val="single"/>
        </w:rPr>
        <w:t xml:space="preserve">RETNINGSLINJER FOR LOKALE FORHANDLINGER PR. </w:t>
      </w:r>
      <w:proofErr w:type="gramStart"/>
      <w:r>
        <w:rPr>
          <w:b/>
          <w:bCs/>
          <w:u w:val="single"/>
        </w:rPr>
        <w:t>01.</w:t>
      </w:r>
      <w:r w:rsidR="00F82598">
        <w:rPr>
          <w:b/>
          <w:bCs/>
          <w:u w:val="single"/>
        </w:rPr>
        <w:t>07</w:t>
      </w:r>
      <w:r>
        <w:rPr>
          <w:b/>
          <w:bCs/>
          <w:u w:val="single"/>
        </w:rPr>
        <w:t>.</w:t>
      </w:r>
      <w:r w:rsidR="00E862A6">
        <w:rPr>
          <w:b/>
          <w:bCs/>
          <w:u w:val="single"/>
        </w:rPr>
        <w:t>2014</w:t>
      </w:r>
      <w:proofErr w:type="gramEnd"/>
    </w:p>
    <w:p w:rsidR="00CA7094" w:rsidRDefault="00CA7094" w:rsidP="00B83A63">
      <w:pPr>
        <w:rPr>
          <w:b/>
          <w:bCs/>
          <w:u w:val="single"/>
        </w:rPr>
      </w:pPr>
    </w:p>
    <w:p w:rsidR="00CA7094" w:rsidRDefault="00CA7094" w:rsidP="00B83A63">
      <w:pPr>
        <w:rPr>
          <w:b/>
          <w:bCs/>
          <w:u w:val="single"/>
        </w:rPr>
      </w:pPr>
    </w:p>
    <w:p w:rsidR="00CA7094" w:rsidRDefault="00CA7094" w:rsidP="00B83A63">
      <w:pPr>
        <w:rPr>
          <w:b/>
          <w:bCs/>
          <w:u w:val="single"/>
        </w:rPr>
      </w:pPr>
    </w:p>
    <w:p w:rsidR="00CA7094" w:rsidRDefault="00CA7094" w:rsidP="00B83A63">
      <w:pPr>
        <w:rPr>
          <w:b/>
          <w:bCs/>
          <w:u w:val="single"/>
        </w:rPr>
      </w:pPr>
      <w:r>
        <w:rPr>
          <w:b/>
          <w:bCs/>
          <w:u w:val="single"/>
        </w:rPr>
        <w:t>1.</w:t>
      </w:r>
      <w:r>
        <w:rPr>
          <w:b/>
          <w:bCs/>
          <w:u w:val="single"/>
        </w:rPr>
        <w:tab/>
        <w:t>FORMELT GRUNNLAG</w:t>
      </w:r>
    </w:p>
    <w:p w:rsidR="00CA7094" w:rsidRDefault="00CA7094" w:rsidP="00B83A63"/>
    <w:p w:rsidR="00CA7094" w:rsidRDefault="00CA7094" w:rsidP="00B83A63">
      <w:r>
        <w:t xml:space="preserve">I pkt. </w:t>
      </w:r>
      <w:r w:rsidR="00E862A6">
        <w:t xml:space="preserve">4 </w:t>
      </w:r>
      <w:r>
        <w:t xml:space="preserve">i </w:t>
      </w:r>
      <w:r w:rsidR="009F36BF">
        <w:t xml:space="preserve">Riksmeklerens </w:t>
      </w:r>
      <w:r>
        <w:t xml:space="preserve">møtebok av </w:t>
      </w:r>
      <w:proofErr w:type="gramStart"/>
      <w:r w:rsidR="00E862A6">
        <w:t>27</w:t>
      </w:r>
      <w:r>
        <w:t>.05.</w:t>
      </w:r>
      <w:r w:rsidR="00E862A6">
        <w:t>2014</w:t>
      </w:r>
      <w:proofErr w:type="gramEnd"/>
      <w:r w:rsidR="00E862A6">
        <w:t xml:space="preserve"> </w:t>
      </w:r>
      <w:r>
        <w:t xml:space="preserve">er følgende inntatt vedr. </w:t>
      </w:r>
      <w:proofErr w:type="gramStart"/>
      <w:r>
        <w:t>lokale forhandlinger pr. 01.</w:t>
      </w:r>
      <w:r w:rsidR="00F82598">
        <w:t>07</w:t>
      </w:r>
      <w:r>
        <w:t>.</w:t>
      </w:r>
      <w:r w:rsidR="00E862A6">
        <w:t>2014</w:t>
      </w:r>
      <w:r>
        <w:t>:</w:t>
      </w:r>
      <w:proofErr w:type="gramEnd"/>
    </w:p>
    <w:p w:rsidR="00CA7094" w:rsidRDefault="00CA7094" w:rsidP="00B83A63">
      <w:pPr>
        <w:pStyle w:val="Sluttnotetekst"/>
      </w:pPr>
    </w:p>
    <w:p w:rsidR="00CA7094" w:rsidRDefault="00CA7094" w:rsidP="00B83A63">
      <w:pPr>
        <w:pStyle w:val="Sluttnotetekst"/>
      </w:pPr>
      <w:r>
        <w:t>”</w:t>
      </w:r>
    </w:p>
    <w:p w:rsidR="00CA7094" w:rsidRDefault="00CA7094" w:rsidP="00B83A63">
      <w:pPr>
        <w:rPr>
          <w:b/>
          <w:bCs/>
          <w:i/>
          <w:iCs/>
          <w:u w:val="single"/>
        </w:rPr>
      </w:pPr>
      <w:r>
        <w:rPr>
          <w:b/>
          <w:bCs/>
          <w:i/>
          <w:iCs/>
          <w:u w:val="single"/>
        </w:rPr>
        <w:t>4.</w:t>
      </w:r>
      <w:r>
        <w:rPr>
          <w:b/>
          <w:bCs/>
          <w:i/>
          <w:iCs/>
          <w:u w:val="single"/>
        </w:rPr>
        <w:tab/>
        <w:t>Lokale forhandlinger</w:t>
      </w:r>
    </w:p>
    <w:p w:rsidR="00CA7094" w:rsidRDefault="00CA7094" w:rsidP="00B83A63">
      <w:pPr>
        <w:rPr>
          <w:i/>
          <w:iCs/>
        </w:rPr>
      </w:pPr>
    </w:p>
    <w:p w:rsidR="00CA7094" w:rsidRDefault="00CA7094" w:rsidP="00B83A63">
      <w:pPr>
        <w:rPr>
          <w:i/>
          <w:iCs/>
        </w:rPr>
      </w:pPr>
      <w:r>
        <w:rPr>
          <w:i/>
          <w:iCs/>
        </w:rPr>
        <w:t xml:space="preserve">Det gjennomføres lokale forhandlinger i den enkelte virksomhet med virkning fra </w:t>
      </w:r>
      <w:proofErr w:type="gramStart"/>
      <w:r>
        <w:rPr>
          <w:i/>
          <w:iCs/>
        </w:rPr>
        <w:t>01.</w:t>
      </w:r>
      <w:r w:rsidR="00F82598">
        <w:rPr>
          <w:i/>
          <w:iCs/>
        </w:rPr>
        <w:t>07</w:t>
      </w:r>
      <w:r>
        <w:rPr>
          <w:i/>
          <w:iCs/>
        </w:rPr>
        <w:t>.</w:t>
      </w:r>
      <w:r w:rsidR="00E862A6">
        <w:rPr>
          <w:i/>
          <w:iCs/>
        </w:rPr>
        <w:t>2014</w:t>
      </w:r>
      <w:proofErr w:type="gramEnd"/>
      <w:r w:rsidR="00E862A6">
        <w:rPr>
          <w:i/>
          <w:iCs/>
        </w:rPr>
        <w:t xml:space="preserve"> </w:t>
      </w:r>
      <w:r>
        <w:rPr>
          <w:i/>
          <w:iCs/>
        </w:rPr>
        <w:t xml:space="preserve">tilsvarende </w:t>
      </w:r>
      <w:r w:rsidR="00E862A6">
        <w:rPr>
          <w:i/>
          <w:iCs/>
        </w:rPr>
        <w:t>0,6</w:t>
      </w:r>
      <w:r w:rsidR="00F82598">
        <w:rPr>
          <w:i/>
          <w:iCs/>
        </w:rPr>
        <w:t xml:space="preserve"> </w:t>
      </w:r>
      <w:r>
        <w:rPr>
          <w:i/>
          <w:iCs/>
        </w:rPr>
        <w:t xml:space="preserve">% av lønnsmassen på årsbasis. </w:t>
      </w:r>
    </w:p>
    <w:p w:rsidR="00CA7094" w:rsidRDefault="00CA7094" w:rsidP="00B83A63">
      <w:pPr>
        <w:rPr>
          <w:i/>
          <w:iCs/>
        </w:rPr>
      </w:pPr>
      <w:r>
        <w:rPr>
          <w:i/>
          <w:iCs/>
        </w:rPr>
        <w:t xml:space="preserve">Lokale forhandlinger sluttføres innen </w:t>
      </w:r>
      <w:r w:rsidR="00A054DD">
        <w:rPr>
          <w:i/>
          <w:iCs/>
        </w:rPr>
        <w:t>31.10</w:t>
      </w:r>
      <w:r>
        <w:rPr>
          <w:i/>
          <w:iCs/>
        </w:rPr>
        <w:t>.</w:t>
      </w:r>
      <w:r w:rsidR="00E862A6">
        <w:rPr>
          <w:i/>
          <w:iCs/>
        </w:rPr>
        <w:t>2014</w:t>
      </w:r>
      <w:r>
        <w:rPr>
          <w:i/>
          <w:iCs/>
        </w:rPr>
        <w:t>.”</w:t>
      </w:r>
    </w:p>
    <w:p w:rsidR="00CA7094" w:rsidRDefault="00CA7094" w:rsidP="00B83A63">
      <w:pPr>
        <w:pStyle w:val="Sluttnotetekst"/>
      </w:pPr>
    </w:p>
    <w:p w:rsidR="00A054DD" w:rsidRDefault="00A054DD" w:rsidP="00B83A63">
      <w:pPr>
        <w:pStyle w:val="Sluttnotetekst"/>
      </w:pPr>
      <w:r>
        <w:t>Partene er senere blitt enige om å endre fristen til 07.11.2014.</w:t>
      </w:r>
    </w:p>
    <w:p w:rsidR="00CA7094" w:rsidRDefault="00CA7094" w:rsidP="00B83A63"/>
    <w:p w:rsidR="00CA7094" w:rsidRDefault="00CA7094" w:rsidP="00B83A63">
      <w:pPr>
        <w:rPr>
          <w:b/>
          <w:bCs/>
          <w:u w:val="single"/>
        </w:rPr>
      </w:pPr>
      <w:r>
        <w:rPr>
          <w:b/>
          <w:bCs/>
          <w:u w:val="single"/>
        </w:rPr>
        <w:t>2.</w:t>
      </w:r>
      <w:r>
        <w:rPr>
          <w:b/>
          <w:bCs/>
          <w:u w:val="single"/>
        </w:rPr>
        <w:tab/>
        <w:t>LOKALE FORHANDLINGER</w:t>
      </w:r>
    </w:p>
    <w:p w:rsidR="00CA7094" w:rsidRDefault="00CA7094" w:rsidP="00B83A63"/>
    <w:p w:rsidR="00CA7094" w:rsidRDefault="00CA7094" w:rsidP="00B83A63">
      <w:pPr>
        <w:rPr>
          <w:b/>
          <w:bCs/>
          <w:u w:val="single"/>
        </w:rPr>
      </w:pPr>
      <w:r>
        <w:rPr>
          <w:b/>
          <w:bCs/>
          <w:u w:val="single"/>
        </w:rPr>
        <w:t>2.1.</w:t>
      </w:r>
      <w:r>
        <w:rPr>
          <w:b/>
          <w:bCs/>
          <w:u w:val="single"/>
        </w:rPr>
        <w:tab/>
        <w:t>Grunnlag</w:t>
      </w:r>
    </w:p>
    <w:p w:rsidR="00CA7094" w:rsidRDefault="00CA7094" w:rsidP="00B83A63"/>
    <w:p w:rsidR="00CA7094" w:rsidRDefault="00CA7094" w:rsidP="00B83A63">
      <w:pPr>
        <w:rPr>
          <w:u w:val="single"/>
        </w:rPr>
      </w:pPr>
      <w:r>
        <w:rPr>
          <w:u w:val="single"/>
        </w:rPr>
        <w:t>2.1.1.</w:t>
      </w:r>
      <w:r>
        <w:rPr>
          <w:u w:val="single"/>
        </w:rPr>
        <w:tab/>
        <w:t>Økonomisk ramme</w:t>
      </w:r>
    </w:p>
    <w:p w:rsidR="00CA7094" w:rsidRDefault="00CA7094" w:rsidP="00B83A63"/>
    <w:p w:rsidR="00CA7094" w:rsidRDefault="00CA7094" w:rsidP="00B83A63">
      <w:r>
        <w:t xml:space="preserve">Den økonomiske rammen for de lokale forhandlinger pr. </w:t>
      </w:r>
      <w:proofErr w:type="gramStart"/>
      <w:r>
        <w:t>01.</w:t>
      </w:r>
      <w:r w:rsidR="00F82598">
        <w:t>07</w:t>
      </w:r>
      <w:r>
        <w:t>.</w:t>
      </w:r>
      <w:r w:rsidR="00E862A6">
        <w:t>2014</w:t>
      </w:r>
      <w:proofErr w:type="gramEnd"/>
      <w:r w:rsidR="00E862A6">
        <w:t xml:space="preserve"> </w:t>
      </w:r>
      <w:r>
        <w:t xml:space="preserve">utgjør </w:t>
      </w:r>
      <w:r w:rsidR="00E862A6">
        <w:t>0,6</w:t>
      </w:r>
      <w:r w:rsidR="00F82598">
        <w:t xml:space="preserve"> </w:t>
      </w:r>
      <w:r>
        <w:t>% av lønnsmassen på årsbasis med virkning fra 01.</w:t>
      </w:r>
      <w:r w:rsidR="00F82598">
        <w:t>07</w:t>
      </w:r>
      <w:r>
        <w:t>.</w:t>
      </w:r>
      <w:r w:rsidR="00E862A6">
        <w:t>2014</w:t>
      </w:r>
      <w:r>
        <w:t xml:space="preserve">, jfr. </w:t>
      </w:r>
      <w:r w:rsidR="009F36BF">
        <w:t xml:space="preserve">Riksmeklerens </w:t>
      </w:r>
      <w:r>
        <w:t xml:space="preserve">forslag av </w:t>
      </w:r>
      <w:r w:rsidR="00E862A6">
        <w:t>27</w:t>
      </w:r>
      <w:r>
        <w:t>.05.</w:t>
      </w:r>
      <w:r w:rsidR="00E862A6">
        <w:t xml:space="preserve">2014 </w:t>
      </w:r>
      <w:r>
        <w:t xml:space="preserve">pkt. </w:t>
      </w:r>
      <w:r w:rsidR="00E862A6">
        <w:t>4</w:t>
      </w:r>
      <w:r>
        <w:t xml:space="preserve">. I tillegg kommer eventuelle resirkulerte midler, jfr. pkt. 5 nedenfor. </w:t>
      </w:r>
    </w:p>
    <w:p w:rsidR="00CA7094" w:rsidRDefault="00CA7094" w:rsidP="00B83A63">
      <w:pPr>
        <w:pStyle w:val="Sluttnotetekst"/>
      </w:pPr>
    </w:p>
    <w:p w:rsidR="00CA7094" w:rsidRDefault="00CA7094" w:rsidP="00B83A63">
      <w:r>
        <w:t xml:space="preserve">Byrådsavdeling for finans foretar fordelingen på de enkelte virksomheter innenfor den avsatte rammen med virkning fra </w:t>
      </w:r>
      <w:proofErr w:type="gramStart"/>
      <w:r>
        <w:t>01.</w:t>
      </w:r>
      <w:r w:rsidR="00F82598">
        <w:t>07</w:t>
      </w:r>
      <w:r>
        <w:t>.</w:t>
      </w:r>
      <w:r w:rsidR="00E862A6">
        <w:t>2014</w:t>
      </w:r>
      <w:proofErr w:type="gramEnd"/>
      <w:r>
        <w:t>. Fordelingen legges frem for beregningsutvalget og resultatet meddeles organisasjonene.</w:t>
      </w:r>
    </w:p>
    <w:p w:rsidR="00CA7094" w:rsidRDefault="00CA7094" w:rsidP="00B83A63">
      <w:pPr>
        <w:rPr>
          <w:u w:val="single"/>
        </w:rPr>
      </w:pPr>
    </w:p>
    <w:p w:rsidR="00CA7094" w:rsidRDefault="00CA7094" w:rsidP="00B83A63">
      <w:pPr>
        <w:rPr>
          <w:u w:val="single"/>
        </w:rPr>
      </w:pPr>
      <w:r>
        <w:rPr>
          <w:u w:val="single"/>
        </w:rPr>
        <w:t>2.1.2.</w:t>
      </w:r>
      <w:r>
        <w:rPr>
          <w:u w:val="single"/>
        </w:rPr>
        <w:tab/>
        <w:t>Koder, tallmateriale m.v.</w:t>
      </w:r>
    </w:p>
    <w:p w:rsidR="00CA7094" w:rsidRDefault="00CA7094" w:rsidP="00B83A63"/>
    <w:p w:rsidR="00CA7094" w:rsidRDefault="00CA7094" w:rsidP="00B83A63">
      <w:r>
        <w:t xml:space="preserve">Byrådsavdeling for finans vil sende ut til virksomhetene en kodeoversikt med kommentarer, som forutsettes omdelt til forhandlingsberettigede organisasjoner i virksomheten. Lokal arbeidsgiver sørger for at nødvendig tallmateriale fra UKE foreligger. Tallmaterialet gjøres tilgjengelig for lokale tillitsvalgte. Forhandlingene føres på grunnlag av gjeldende kodestruktur. </w:t>
      </w:r>
    </w:p>
    <w:p w:rsidR="00CA7094" w:rsidRDefault="00CA7094" w:rsidP="00B83A63"/>
    <w:p w:rsidR="00CA7094" w:rsidRDefault="00CA7094" w:rsidP="00B83A63"/>
    <w:p w:rsidR="00CA7094" w:rsidRDefault="00CA7094" w:rsidP="00B83A63">
      <w:pPr>
        <w:tabs>
          <w:tab w:val="left" w:pos="709"/>
        </w:tabs>
        <w:rPr>
          <w:u w:val="single"/>
        </w:rPr>
      </w:pPr>
      <w:r>
        <w:rPr>
          <w:u w:val="single"/>
        </w:rPr>
        <w:t>2.1.3.</w:t>
      </w:r>
      <w:r>
        <w:rPr>
          <w:u w:val="single"/>
        </w:rPr>
        <w:tab/>
        <w:t>Grunnlagsmateriale</w:t>
      </w:r>
    </w:p>
    <w:p w:rsidR="00CA7094" w:rsidRDefault="00CA7094" w:rsidP="00B83A63">
      <w:pPr>
        <w:pStyle w:val="Sluttnotetekst"/>
      </w:pPr>
    </w:p>
    <w:p w:rsidR="00CA7094" w:rsidRDefault="00CA7094" w:rsidP="00B83A63">
      <w:r>
        <w:t xml:space="preserve">Følgende grunnlagsmateriale </w:t>
      </w:r>
      <w:r>
        <w:rPr>
          <w:u w:val="single"/>
        </w:rPr>
        <w:t>vedlegges</w:t>
      </w:r>
      <w:r>
        <w:t>:</w:t>
      </w:r>
    </w:p>
    <w:p w:rsidR="00CA7094" w:rsidRDefault="00CA7094" w:rsidP="00B83A63"/>
    <w:p w:rsidR="00CA7094" w:rsidRDefault="00CA7094" w:rsidP="00B83A63">
      <w:pPr>
        <w:ind w:left="705" w:hanging="705"/>
      </w:pPr>
      <w:r>
        <w:t>1.</w:t>
      </w:r>
      <w:r>
        <w:tab/>
        <w:t>Kriteriene for lønnsfastsettelse og likelønn i tilknytning til bruk av lønnsrammesystemet</w:t>
      </w:r>
    </w:p>
    <w:p w:rsidR="00CA7094" w:rsidRDefault="00CA7094" w:rsidP="00B83A63">
      <w:r>
        <w:t>2.</w:t>
      </w:r>
      <w:r>
        <w:tab/>
      </w:r>
      <w:proofErr w:type="spellStart"/>
      <w:r>
        <w:t>Protokollmal</w:t>
      </w:r>
      <w:proofErr w:type="spellEnd"/>
    </w:p>
    <w:p w:rsidR="00CA7094" w:rsidRDefault="00CA7094" w:rsidP="00B83A63"/>
    <w:p w:rsidR="00CA7094" w:rsidRDefault="00CA7094" w:rsidP="00B83A63">
      <w:r>
        <w:t xml:space="preserve">Følgende grunnlagsmateriale </w:t>
      </w:r>
      <w:r w:rsidR="009F36BF">
        <w:t xml:space="preserve">distribueres </w:t>
      </w:r>
      <w:r>
        <w:t xml:space="preserve">i uke </w:t>
      </w:r>
      <w:r w:rsidR="001559E0">
        <w:t>36</w:t>
      </w:r>
      <w:bookmarkStart w:id="0" w:name="_GoBack"/>
      <w:bookmarkEnd w:id="0"/>
      <w:r>
        <w:t>:</w:t>
      </w:r>
    </w:p>
    <w:p w:rsidR="00CA7094" w:rsidRDefault="00CA7094" w:rsidP="00B83A63"/>
    <w:p w:rsidR="00CA7094" w:rsidRDefault="00CA7094" w:rsidP="00B83A63">
      <w:r>
        <w:t>1.</w:t>
      </w:r>
      <w:r>
        <w:tab/>
        <w:t>Stillingsregisteret</w:t>
      </w:r>
    </w:p>
    <w:p w:rsidR="00CA7094" w:rsidRDefault="00CA7094" w:rsidP="00B83A63">
      <w:r>
        <w:t>2.</w:t>
      </w:r>
      <w:r>
        <w:tab/>
        <w:t>Gjeldende lønnsrammer</w:t>
      </w:r>
    </w:p>
    <w:p w:rsidR="00CA7094" w:rsidRDefault="00CA7094" w:rsidP="00B83A63">
      <w:pPr>
        <w:pStyle w:val="Sluttnotetekst"/>
      </w:pPr>
      <w:r>
        <w:t>3.</w:t>
      </w:r>
      <w:r>
        <w:tab/>
        <w:t>Differansetabell</w:t>
      </w:r>
    </w:p>
    <w:p w:rsidR="00CA7094" w:rsidRDefault="00CA7094" w:rsidP="00B83A63"/>
    <w:p w:rsidR="00CA7094" w:rsidRDefault="00CA7094" w:rsidP="00B83A63"/>
    <w:p w:rsidR="00CA7094" w:rsidRDefault="00CA7094" w:rsidP="00B83A63">
      <w:pPr>
        <w:rPr>
          <w:b/>
          <w:bCs/>
          <w:u w:val="single"/>
        </w:rPr>
      </w:pPr>
      <w:r>
        <w:rPr>
          <w:b/>
          <w:bCs/>
          <w:u w:val="single"/>
        </w:rPr>
        <w:t>2.2.</w:t>
      </w:r>
      <w:r>
        <w:rPr>
          <w:b/>
          <w:bCs/>
          <w:u w:val="single"/>
        </w:rPr>
        <w:tab/>
        <w:t>Tidsfrister</w:t>
      </w:r>
    </w:p>
    <w:p w:rsidR="00CA7094" w:rsidRDefault="00CA7094" w:rsidP="00B83A63"/>
    <w:p w:rsidR="00CA7094" w:rsidRDefault="00CA7094" w:rsidP="00B83A63">
      <w:pPr>
        <w:pStyle w:val="Brdtekst"/>
        <w:rPr>
          <w:i w:val="0"/>
          <w:iCs w:val="0"/>
        </w:rPr>
      </w:pPr>
      <w:r>
        <w:rPr>
          <w:i w:val="0"/>
          <w:iCs w:val="0"/>
        </w:rPr>
        <w:t>De lokale forhandlinger pr. 01.</w:t>
      </w:r>
      <w:r w:rsidR="00F82598">
        <w:rPr>
          <w:i w:val="0"/>
          <w:iCs w:val="0"/>
        </w:rPr>
        <w:t>07</w:t>
      </w:r>
      <w:r>
        <w:rPr>
          <w:i w:val="0"/>
          <w:iCs w:val="0"/>
        </w:rPr>
        <w:t>.</w:t>
      </w:r>
      <w:r w:rsidR="00E862A6">
        <w:rPr>
          <w:i w:val="0"/>
          <w:iCs w:val="0"/>
        </w:rPr>
        <w:t xml:space="preserve">2014 </w:t>
      </w:r>
      <w:r>
        <w:rPr>
          <w:i w:val="0"/>
          <w:iCs w:val="0"/>
        </w:rPr>
        <w:t xml:space="preserve">gjennomføres innen </w:t>
      </w:r>
      <w:r w:rsidR="00A054DD">
        <w:rPr>
          <w:i w:val="0"/>
          <w:iCs w:val="0"/>
        </w:rPr>
        <w:t>07.11</w:t>
      </w:r>
      <w:r>
        <w:rPr>
          <w:i w:val="0"/>
          <w:iCs w:val="0"/>
        </w:rPr>
        <w:t>.</w:t>
      </w:r>
      <w:r w:rsidR="00E862A6">
        <w:rPr>
          <w:i w:val="0"/>
          <w:iCs w:val="0"/>
        </w:rPr>
        <w:t>2014</w:t>
      </w:r>
      <w:r>
        <w:rPr>
          <w:i w:val="0"/>
          <w:iCs w:val="0"/>
        </w:rPr>
        <w:t>.</w:t>
      </w:r>
    </w:p>
    <w:p w:rsidR="00CA7094" w:rsidRDefault="00CA7094" w:rsidP="00B83A63">
      <w:pPr>
        <w:rPr>
          <w:b/>
          <w:bCs/>
          <w:u w:val="single"/>
        </w:rPr>
      </w:pPr>
    </w:p>
    <w:p w:rsidR="00CA7094" w:rsidRDefault="00CA7094" w:rsidP="00B83A63">
      <w:pPr>
        <w:rPr>
          <w:b/>
          <w:bCs/>
          <w:u w:val="single"/>
        </w:rPr>
      </w:pPr>
      <w:r>
        <w:rPr>
          <w:b/>
          <w:bCs/>
          <w:u w:val="single"/>
        </w:rPr>
        <w:t>2.3.</w:t>
      </w:r>
      <w:r>
        <w:rPr>
          <w:b/>
          <w:bCs/>
          <w:u w:val="single"/>
        </w:rPr>
        <w:tab/>
        <w:t>Organisering m.v.</w:t>
      </w:r>
    </w:p>
    <w:p w:rsidR="00CA7094" w:rsidRDefault="00CA7094" w:rsidP="00B83A63">
      <w:pPr>
        <w:pStyle w:val="Sluttnotetekst"/>
      </w:pPr>
    </w:p>
    <w:p w:rsidR="00CA7094" w:rsidRDefault="00CA7094" w:rsidP="00B83A63">
      <w:pPr>
        <w:ind w:left="720" w:hanging="720"/>
      </w:pPr>
      <w:r>
        <w:t>2.3.1.</w:t>
      </w:r>
      <w:r>
        <w:tab/>
        <w:t>Oslo kommune og forhandlingssammenslutningene sentralt forutsetter at det avholdes lønnspolitiske drøftinger i forkant av oppgjøret samtidig som en drøfter praktiske/prosessuelle og tekniske spørsmål i tilknytning til gjennomføring av forhandlingene.</w:t>
      </w:r>
    </w:p>
    <w:p w:rsidR="00CA7094" w:rsidRDefault="00CA7094" w:rsidP="0072331F"/>
    <w:p w:rsidR="00CA7094" w:rsidRDefault="00CA7094" w:rsidP="00B83A63">
      <w:pPr>
        <w:ind w:left="720" w:hanging="12"/>
      </w:pPr>
      <w:r>
        <w:t>De lønnspolitiske drøftingene skal avsluttes</w:t>
      </w:r>
      <w:r w:rsidR="00A42C17">
        <w:t xml:space="preserve"> i nødvendig tid</w:t>
      </w:r>
      <w:r>
        <w:t xml:space="preserve"> før oppstarten av de lokale forhandlingene.</w:t>
      </w:r>
    </w:p>
    <w:p w:rsidR="00CA7094" w:rsidRDefault="00CA7094" w:rsidP="00B83A63"/>
    <w:p w:rsidR="00CA7094" w:rsidRDefault="00CA7094" w:rsidP="00B83A63">
      <w:pPr>
        <w:ind w:left="720" w:hanging="720"/>
      </w:pPr>
      <w:r>
        <w:t>2.3.</w:t>
      </w:r>
      <w:proofErr w:type="gramStart"/>
      <w:r>
        <w:t>2    Det</w:t>
      </w:r>
      <w:proofErr w:type="gramEnd"/>
      <w:r>
        <w:t xml:space="preserve"> forutsettes at virksomhetsleder og/eller personalsjef representerer arbeidsgiversiden i de lokale forhandlinger.</w:t>
      </w:r>
    </w:p>
    <w:p w:rsidR="00CA7094" w:rsidRDefault="00CA7094" w:rsidP="00B83A63"/>
    <w:p w:rsidR="00CA7094" w:rsidRDefault="00CA7094" w:rsidP="00B83A63">
      <w:r>
        <w:t>2.3.3.</w:t>
      </w:r>
      <w:r>
        <w:tab/>
        <w:t>Det er de lokale tillitsvalgte som representerer arbeidstakersiden.</w:t>
      </w:r>
    </w:p>
    <w:p w:rsidR="00CA7094" w:rsidRDefault="00CA7094" w:rsidP="00B83A63"/>
    <w:p w:rsidR="00CA7094" w:rsidRDefault="00CA7094" w:rsidP="00B83A63">
      <w:r>
        <w:t>2.3.4.</w:t>
      </w:r>
      <w:r>
        <w:tab/>
        <w:t xml:space="preserve">Unntaksvis kan sentrale tillitsvalgte opptre på vegne av en </w:t>
      </w:r>
      <w:r>
        <w:tab/>
        <w:t>arbeidstaker/arbeidstakergruppe.</w:t>
      </w:r>
    </w:p>
    <w:p w:rsidR="00CA7094" w:rsidRDefault="00CA7094" w:rsidP="00B83A63"/>
    <w:p w:rsidR="00CA7094" w:rsidRDefault="00CA7094" w:rsidP="00B83A63">
      <w:pPr>
        <w:ind w:left="720" w:hanging="720"/>
      </w:pPr>
      <w:r>
        <w:t>2.3.5.</w:t>
      </w:r>
      <w:r>
        <w:tab/>
        <w:t xml:space="preserve">Dersom sentrale tillitsvalgte skal opptre i lokale forhandlinger, meddeler vedkommende organisasjon dette til Byrådsavdeling for </w:t>
      </w:r>
      <w:proofErr w:type="gramStart"/>
      <w:r>
        <w:t>finans  med</w:t>
      </w:r>
      <w:proofErr w:type="gramEnd"/>
      <w:r>
        <w:t xml:space="preserve"> kopi til den enkelte virksomhet.</w:t>
      </w:r>
    </w:p>
    <w:p w:rsidR="00CA7094" w:rsidRDefault="00CA7094" w:rsidP="00B83A63"/>
    <w:p w:rsidR="00CA7094" w:rsidRDefault="00CA7094" w:rsidP="00B83A63">
      <w:r>
        <w:t>2.3.6.</w:t>
      </w:r>
      <w:r>
        <w:tab/>
        <w:t xml:space="preserve">Representasjonsspørsmålet så vel på arbeidsgiversiden som på arbeidstakersiden </w:t>
      </w:r>
      <w:r>
        <w:tab/>
        <w:t>må avklares på forhånd.</w:t>
      </w:r>
    </w:p>
    <w:p w:rsidR="00CA7094" w:rsidRDefault="00CA7094" w:rsidP="00B83A63"/>
    <w:p w:rsidR="00CA7094" w:rsidRDefault="00CA7094" w:rsidP="00B83A63">
      <w:r>
        <w:t>2.3.7.</w:t>
      </w:r>
      <w:r>
        <w:tab/>
        <w:t xml:space="preserve">De sentrale parter forutsetter at de lokale parter prioriterer forhandlingene på en </w:t>
      </w:r>
      <w:r>
        <w:tab/>
      </w:r>
      <w:r>
        <w:tab/>
        <w:t xml:space="preserve">slik måte at avtalte og fastsatte frister holdes og om nødvendig sørger for alternativ </w:t>
      </w:r>
    </w:p>
    <w:p w:rsidR="00CA7094" w:rsidRDefault="00CA7094" w:rsidP="00B83A63">
      <w:r>
        <w:tab/>
      </w:r>
      <w:proofErr w:type="gramStart"/>
      <w:r>
        <w:t>representasjon i forhandlingene.</w:t>
      </w:r>
      <w:proofErr w:type="gramEnd"/>
    </w:p>
    <w:p w:rsidR="00CA7094" w:rsidRDefault="00CA7094" w:rsidP="00B83A63"/>
    <w:p w:rsidR="00CA7094" w:rsidRDefault="00CA7094" w:rsidP="00B83A63">
      <w:pPr>
        <w:ind w:left="705" w:hanging="705"/>
      </w:pPr>
      <w:r>
        <w:t>2.3.8</w:t>
      </w:r>
      <w:r>
        <w:tab/>
        <w:t>Oslo kommune og forhandlingssammenslutningene sentralt forutsetter at partenes representanter har de nødvendige fullmakter for å gjennomføre og avslutte forhandlingene.</w:t>
      </w:r>
    </w:p>
    <w:p w:rsidR="00CA7094" w:rsidRDefault="00CA7094" w:rsidP="00B83A63">
      <w:pPr>
        <w:ind w:left="720" w:hanging="720"/>
      </w:pPr>
    </w:p>
    <w:p w:rsidR="00CA7094" w:rsidRDefault="00CA7094" w:rsidP="00B83A63">
      <w:pPr>
        <w:ind w:left="720" w:hanging="720"/>
        <w:rPr>
          <w:i/>
          <w:iCs/>
        </w:rPr>
      </w:pPr>
      <w:r>
        <w:t>2.3.9.</w:t>
      </w:r>
      <w:r>
        <w:tab/>
        <w:t>Det skal nedsettes et lokalt beregningsutvalg.</w:t>
      </w:r>
    </w:p>
    <w:p w:rsidR="00CA7094" w:rsidRDefault="00CA7094" w:rsidP="00B83A63"/>
    <w:p w:rsidR="00CA7094" w:rsidRDefault="00CA7094" w:rsidP="00B83A63"/>
    <w:p w:rsidR="00CA7094" w:rsidRDefault="00CA7094" w:rsidP="00B83A63">
      <w:pPr>
        <w:rPr>
          <w:b/>
          <w:bCs/>
          <w:u w:val="single"/>
        </w:rPr>
      </w:pPr>
      <w:r>
        <w:rPr>
          <w:b/>
          <w:bCs/>
          <w:u w:val="single"/>
        </w:rPr>
        <w:t>2.4.</w:t>
      </w:r>
      <w:r>
        <w:rPr>
          <w:b/>
          <w:bCs/>
          <w:u w:val="single"/>
        </w:rPr>
        <w:tab/>
        <w:t>Forhandlinger</w:t>
      </w:r>
    </w:p>
    <w:p w:rsidR="00CA7094" w:rsidRDefault="00CA7094" w:rsidP="00B83A63">
      <w:pPr>
        <w:pStyle w:val="Teknisk4"/>
        <w:tabs>
          <w:tab w:val="left" w:pos="708"/>
        </w:tabs>
        <w:suppressAutoHyphens w:val="0"/>
        <w:rPr>
          <w:rFonts w:ascii="Times New Roman" w:hAnsi="Times New Roman" w:cs="Times New Roman"/>
          <w:lang w:val="nb-NO"/>
        </w:rPr>
      </w:pPr>
    </w:p>
    <w:p w:rsidR="00CA7094" w:rsidRDefault="00CA7094" w:rsidP="00B83A63">
      <w:pPr>
        <w:ind w:left="720" w:hanging="720"/>
      </w:pPr>
      <w:r>
        <w:lastRenderedPageBreak/>
        <w:t>2.4.1.</w:t>
      </w:r>
      <w:r>
        <w:tab/>
        <w:t>Oslo kommune og forhandlingssammenslutningene sentralt anbefaler at det forhandles med alle organisasjoner, eventuelt forhandlingssammenslutninger, jfr. pkt. 2.4.3, samlet.</w:t>
      </w:r>
    </w:p>
    <w:p w:rsidR="00CA7094" w:rsidRDefault="00CA7094" w:rsidP="00B83A63"/>
    <w:p w:rsidR="00CA7094" w:rsidRDefault="00CA7094" w:rsidP="00B83A63">
      <w:pPr>
        <w:ind w:left="720"/>
      </w:pPr>
      <w:r>
        <w:t>Det samlede tilbud som omfatter alle organisasjoner skal deles ut til samtlige organisasjoner samtidig. Tilbud forutsettes innrettet slik at det blir reelle forhandlinger. Første tilbud bør ikke omfatte for stor del av den samlede potten.</w:t>
      </w:r>
    </w:p>
    <w:p w:rsidR="00CA7094" w:rsidRDefault="00CA7094" w:rsidP="00B83A63">
      <w:pPr>
        <w:ind w:left="720"/>
      </w:pPr>
    </w:p>
    <w:p w:rsidR="00CA7094" w:rsidRDefault="00CA7094" w:rsidP="00B83A63"/>
    <w:p w:rsidR="00CA7094" w:rsidRDefault="00CA7094" w:rsidP="00B83A63">
      <w:pPr>
        <w:ind w:left="705" w:hanging="705"/>
      </w:pPr>
      <w:r>
        <w:t>2.4.2.</w:t>
      </w:r>
      <w:r>
        <w:tab/>
        <w:t>Oslo kommune vil tilrå overfor arbeidsgiversiden at en søker å legge til rette for at forhandlingssammenslutningsmodellen kan velges i de lokale forhandlinger dersom det er enighet om dette lokalt. Den forhandlingsform som velges i den enkelte virksomhet skal benyttes under hele prosessen.</w:t>
      </w:r>
    </w:p>
    <w:p w:rsidR="00CA7094" w:rsidRDefault="00CA7094" w:rsidP="00B83A63"/>
    <w:p w:rsidR="00CA7094" w:rsidRDefault="00CA7094" w:rsidP="00B83A63">
      <w:pPr>
        <w:ind w:left="705" w:hanging="705"/>
      </w:pPr>
      <w:r>
        <w:t>2.4.3.</w:t>
      </w:r>
      <w:r>
        <w:tab/>
        <w:t xml:space="preserve">Alle tilbud skal være kostnadsberegnet og skal om nødvendig klargjøres overfor </w:t>
      </w:r>
      <w:r>
        <w:tab/>
        <w:t>de enkelte organisasjoner i et lokalt beregningsutvalg, jf. pkt. 2.3.9 ovenfor.</w:t>
      </w:r>
    </w:p>
    <w:p w:rsidR="00CA7094" w:rsidRDefault="00CA7094" w:rsidP="00B83A63">
      <w:pPr>
        <w:rPr>
          <w:b/>
          <w:bCs/>
          <w:i/>
          <w:iCs/>
        </w:rPr>
      </w:pPr>
      <w:r>
        <w:t xml:space="preserve">            </w:t>
      </w:r>
    </w:p>
    <w:p w:rsidR="00CA7094" w:rsidRDefault="00CA7094" w:rsidP="00B83A63">
      <w:pPr>
        <w:rPr>
          <w:b/>
          <w:bCs/>
          <w:u w:val="single"/>
        </w:rPr>
      </w:pPr>
      <w:r>
        <w:rPr>
          <w:b/>
          <w:bCs/>
          <w:u w:val="single"/>
        </w:rPr>
        <w:t>2.5.</w:t>
      </w:r>
      <w:r>
        <w:rPr>
          <w:b/>
          <w:bCs/>
          <w:u w:val="single"/>
        </w:rPr>
        <w:tab/>
        <w:t>Protokoll</w:t>
      </w:r>
    </w:p>
    <w:p w:rsidR="00CA7094" w:rsidRDefault="00CA7094" w:rsidP="00B83A63">
      <w:pPr>
        <w:rPr>
          <w:u w:val="single"/>
        </w:rPr>
      </w:pPr>
    </w:p>
    <w:p w:rsidR="00CA7094" w:rsidRDefault="00CA7094" w:rsidP="00B83A63">
      <w:pPr>
        <w:numPr>
          <w:ilvl w:val="2"/>
          <w:numId w:val="7"/>
        </w:numPr>
      </w:pPr>
      <w:r>
        <w:t xml:space="preserve">Det skal </w:t>
      </w:r>
      <w:r>
        <w:rPr>
          <w:u w:val="single"/>
        </w:rPr>
        <w:t>ikke</w:t>
      </w:r>
      <w:r>
        <w:t xml:space="preserve"> undertegnes protokoll med noen av de lokale organisasjoner før virksomheten har fremlagt sitt siste og endelige tilbud til samtlige organisasjoner.</w:t>
      </w:r>
    </w:p>
    <w:p w:rsidR="00CA7094" w:rsidRDefault="00CA7094" w:rsidP="00B83A63"/>
    <w:p w:rsidR="00CA7094" w:rsidRDefault="00CA7094" w:rsidP="00B83A63">
      <w:pPr>
        <w:pStyle w:val="AvsntilhQy1"/>
        <w:tabs>
          <w:tab w:val="clear" w:pos="0"/>
          <w:tab w:val="clear" w:pos="720"/>
          <w:tab w:val="left" w:pos="708"/>
        </w:tabs>
        <w:suppressAutoHyphens w:val="0"/>
        <w:rPr>
          <w:rFonts w:ascii="Times New Roman" w:hAnsi="Times New Roman" w:cs="Times New Roman"/>
          <w:lang w:val="nb-NO"/>
        </w:rPr>
      </w:pPr>
      <w:r>
        <w:rPr>
          <w:rFonts w:ascii="Times New Roman" w:hAnsi="Times New Roman" w:cs="Times New Roman"/>
          <w:lang w:val="nb-NO"/>
        </w:rPr>
        <w:t xml:space="preserve">Protokollen skal settes opp i </w:t>
      </w:r>
      <w:proofErr w:type="spellStart"/>
      <w:r>
        <w:rPr>
          <w:rFonts w:ascii="Times New Roman" w:hAnsi="Times New Roman" w:cs="Times New Roman"/>
          <w:lang w:val="nb-NO"/>
        </w:rPr>
        <w:t>hht</w:t>
      </w:r>
      <w:proofErr w:type="spellEnd"/>
      <w:r>
        <w:rPr>
          <w:rFonts w:ascii="Times New Roman" w:hAnsi="Times New Roman" w:cs="Times New Roman"/>
          <w:lang w:val="nb-NO"/>
        </w:rPr>
        <w:t xml:space="preserve">. utsendt </w:t>
      </w:r>
      <w:proofErr w:type="spellStart"/>
      <w:r>
        <w:rPr>
          <w:rFonts w:ascii="Times New Roman" w:hAnsi="Times New Roman" w:cs="Times New Roman"/>
          <w:lang w:val="nb-NO"/>
        </w:rPr>
        <w:t>protokollmal</w:t>
      </w:r>
      <w:proofErr w:type="spellEnd"/>
      <w:r>
        <w:rPr>
          <w:rFonts w:ascii="Times New Roman" w:hAnsi="Times New Roman" w:cs="Times New Roman"/>
          <w:lang w:val="nb-NO"/>
        </w:rPr>
        <w:t>, jfr. pkt. 2.1.3. nr. 2. Det understrekes at protokollen/vedleggene ikke skal inneholde personnummer/fødselsnummer. Det samme gjelder opplysning om fagforeningstilknytning.</w:t>
      </w:r>
    </w:p>
    <w:p w:rsidR="00CA7094" w:rsidRDefault="00CA7094" w:rsidP="00B83A63"/>
    <w:p w:rsidR="00CA7094" w:rsidRDefault="00CA7094" w:rsidP="00B83A63">
      <w:pPr>
        <w:ind w:left="720" w:hanging="720"/>
      </w:pPr>
      <w:r>
        <w:t>2.5.2.</w:t>
      </w:r>
      <w:r>
        <w:tab/>
        <w:t>Oslo kommune og forhandlingssammenslutningene sentralt forutsetter at en lokalt følger opp den ordning som gjelder sentralt hvor det settes opp en felles sluttprotokoll som skrives under av samtlige organisasjoner. Det anbefales at sluttprotokollen underskrives i et felles møte.</w:t>
      </w:r>
    </w:p>
    <w:p w:rsidR="00CA7094" w:rsidRDefault="00CA7094" w:rsidP="00B83A63"/>
    <w:p w:rsidR="00CA7094" w:rsidRDefault="00CA7094" w:rsidP="00B83A63">
      <w:pPr>
        <w:ind w:left="720"/>
      </w:pPr>
      <w:r>
        <w:t xml:space="preserve">Oslo kommune har utarbeidet en </w:t>
      </w:r>
      <w:proofErr w:type="spellStart"/>
      <w:r>
        <w:t>protokollmal</w:t>
      </w:r>
      <w:proofErr w:type="spellEnd"/>
      <w:r>
        <w:t xml:space="preserve"> til bruk i denne forbindelse. I merknadsfelt skal grunnlaget for lønnsbevegelsen forklares nærmere.</w:t>
      </w:r>
    </w:p>
    <w:p w:rsidR="00CA7094" w:rsidRDefault="00CA7094" w:rsidP="00B83A63">
      <w:r>
        <w:tab/>
      </w:r>
    </w:p>
    <w:p w:rsidR="00CA7094" w:rsidRDefault="00CA7094" w:rsidP="00B83A63">
      <w:pPr>
        <w:ind w:left="720" w:hanging="720"/>
      </w:pPr>
      <w:r>
        <w:t>2.5.3.</w:t>
      </w:r>
      <w:r>
        <w:tab/>
        <w:t xml:space="preserve">Byrådsavdeling for finans og forhandlingssammenslutningene sentralt skal fra sine respektive lokale parter ha kopi av alle protokoller med kostnadsberegninger. Kopi av forhandlingsprotokollene skal sendes Byrådsavdeling for </w:t>
      </w:r>
      <w:proofErr w:type="gramStart"/>
      <w:r>
        <w:t>finans  umiddelbart</w:t>
      </w:r>
      <w:proofErr w:type="gramEnd"/>
      <w:r>
        <w:t xml:space="preserve"> etter at forhandlingene er avsluttet.</w:t>
      </w:r>
    </w:p>
    <w:p w:rsidR="00CA7094" w:rsidRDefault="00CA7094" w:rsidP="00B83A63"/>
    <w:p w:rsidR="00CA7094" w:rsidRDefault="00CA7094" w:rsidP="00B83A63">
      <w:pPr>
        <w:rPr>
          <w:b/>
          <w:bCs/>
          <w:u w:val="single"/>
        </w:rPr>
      </w:pPr>
      <w:r>
        <w:rPr>
          <w:b/>
          <w:bCs/>
          <w:u w:val="single"/>
        </w:rPr>
        <w:t>2.6.</w:t>
      </w:r>
      <w:r>
        <w:rPr>
          <w:b/>
          <w:bCs/>
          <w:u w:val="single"/>
        </w:rPr>
        <w:tab/>
        <w:t>Eventuell rest-pott</w:t>
      </w:r>
    </w:p>
    <w:p w:rsidR="00CA7094" w:rsidRDefault="00CA7094" w:rsidP="00B83A63"/>
    <w:p w:rsidR="00CA7094" w:rsidRDefault="00CA7094" w:rsidP="00B83A63">
      <w:pPr>
        <w:ind w:left="720" w:hanging="720"/>
      </w:pPr>
      <w:r>
        <w:t>2.6.1.</w:t>
      </w:r>
      <w:r>
        <w:tab/>
        <w:t>Dersom det står igjen et beløp innenfor den fastsatte ramme som ikke er tilstrekkelig til å dekke ett lønnstrinns opprykk, vil kommunen gi virksomheten fullmakt til at man kan gå opp til et helt lønnstrinn mot at virksomheten selv dekker den mellomliggende kostnad.</w:t>
      </w:r>
    </w:p>
    <w:p w:rsidR="00CA7094" w:rsidRDefault="00CA7094" w:rsidP="00B83A63">
      <w:pPr>
        <w:ind w:left="720" w:hanging="720"/>
      </w:pPr>
    </w:p>
    <w:p w:rsidR="00CA7094" w:rsidRDefault="00CA7094" w:rsidP="00B83A63">
      <w:pPr>
        <w:ind w:left="720" w:hanging="720"/>
      </w:pPr>
    </w:p>
    <w:p w:rsidR="00CA7094" w:rsidRDefault="00CA7094" w:rsidP="00B83A63">
      <w:pPr>
        <w:rPr>
          <w:b/>
          <w:bCs/>
          <w:u w:val="single"/>
        </w:rPr>
      </w:pPr>
      <w:r>
        <w:rPr>
          <w:b/>
          <w:bCs/>
          <w:u w:val="single"/>
        </w:rPr>
        <w:t>2.7.</w:t>
      </w:r>
      <w:r>
        <w:rPr>
          <w:b/>
          <w:bCs/>
          <w:u w:val="single"/>
        </w:rPr>
        <w:tab/>
        <w:t>Eventuelt brudd i lokale forhandlinger</w:t>
      </w:r>
    </w:p>
    <w:p w:rsidR="00CA7094" w:rsidRDefault="00CA7094" w:rsidP="00B83A63"/>
    <w:p w:rsidR="00CA7094" w:rsidRDefault="00CA7094" w:rsidP="00B83A63"/>
    <w:p w:rsidR="00CA7094" w:rsidRDefault="00CA7094" w:rsidP="00B83A63">
      <w:pPr>
        <w:numPr>
          <w:ilvl w:val="2"/>
          <w:numId w:val="8"/>
        </w:numPr>
      </w:pPr>
      <w:r>
        <w:t>Ved eventuelt brudd i lokale forhandlinger sender de lokale foreninger saken til sine sentrale organisasjoner.</w:t>
      </w:r>
    </w:p>
    <w:p w:rsidR="00CA7094" w:rsidRDefault="00CA7094" w:rsidP="00B83A63"/>
    <w:p w:rsidR="00CA7094" w:rsidRDefault="00CA7094" w:rsidP="00B83A63">
      <w:pPr>
        <w:ind w:left="720"/>
      </w:pPr>
      <w:r>
        <w:t xml:space="preserve">De sentrale organisasjoner kan kreve sentrale forhandlinger i tilknytning til brudd i lokale forhandlinger. </w:t>
      </w:r>
    </w:p>
    <w:p w:rsidR="00CA7094" w:rsidRDefault="00CA7094" w:rsidP="00B83A63">
      <w:pPr>
        <w:ind w:left="720"/>
      </w:pPr>
    </w:p>
    <w:p w:rsidR="00CA7094" w:rsidRDefault="00CA7094" w:rsidP="00B83A63">
      <w:pPr>
        <w:ind w:left="720"/>
      </w:pPr>
      <w:r>
        <w:t>Dersom en ikke kommer til enighet i sentrale forhandlinger, behandles tvisten i ankenemnd, jfr. fellesbestemmelsenes § 16, pkt. 16.3.</w:t>
      </w:r>
    </w:p>
    <w:p w:rsidR="00CA7094" w:rsidRDefault="00CA7094" w:rsidP="00B83A63"/>
    <w:p w:rsidR="00CA7094" w:rsidRDefault="00CA7094" w:rsidP="00B83A63">
      <w:pPr>
        <w:ind w:left="720"/>
      </w:pPr>
      <w:r>
        <w:t xml:space="preserve">Krav om sentrale forhandlinger må være fremsatt innen </w:t>
      </w:r>
      <w:r w:rsidR="00E862A6">
        <w:t>14</w:t>
      </w:r>
      <w:r>
        <w:t>.11.</w:t>
      </w:r>
      <w:r w:rsidR="00E862A6">
        <w:t>2014</w:t>
      </w:r>
      <w:r>
        <w:t xml:space="preserve">. Sentrale forhandlinger skal være sluttført innen </w:t>
      </w:r>
      <w:r w:rsidR="00E862A6">
        <w:t>28</w:t>
      </w:r>
      <w:r>
        <w:t>.11.</w:t>
      </w:r>
      <w:r w:rsidR="00E862A6">
        <w:t>2014</w:t>
      </w:r>
      <w:r>
        <w:t>.</w:t>
      </w:r>
    </w:p>
    <w:p w:rsidR="00CA7094" w:rsidRDefault="00CA7094" w:rsidP="00B83A63">
      <w:pPr>
        <w:ind w:left="720"/>
      </w:pPr>
    </w:p>
    <w:p w:rsidR="00CA7094" w:rsidRDefault="00CA7094" w:rsidP="00B83A63">
      <w:pPr>
        <w:ind w:left="720"/>
      </w:pPr>
      <w:r>
        <w:t xml:space="preserve">Krav fra de sentrale organisasjoner om eventuell behandling i ankenemnd må være fremsatt innen </w:t>
      </w:r>
      <w:r w:rsidR="00E862A6">
        <w:t>05</w:t>
      </w:r>
      <w:r>
        <w:t>.12.</w:t>
      </w:r>
      <w:r w:rsidR="00E862A6">
        <w:t xml:space="preserve">2014 </w:t>
      </w:r>
      <w:r>
        <w:t xml:space="preserve">kfr. </w:t>
      </w:r>
      <w:proofErr w:type="gramStart"/>
      <w:r>
        <w:t>for øvrig pkt. 7.2.</w:t>
      </w:r>
      <w:proofErr w:type="gramEnd"/>
      <w:r>
        <w:t xml:space="preserve"> Kommunen oversender saken til nemnda innen </w:t>
      </w:r>
      <w:r w:rsidR="00E862A6">
        <w:t>12</w:t>
      </w:r>
      <w:r>
        <w:t>.12.</w:t>
      </w:r>
      <w:r w:rsidR="00E862A6">
        <w:t>2014</w:t>
      </w:r>
      <w:r>
        <w:t>.</w:t>
      </w:r>
    </w:p>
    <w:p w:rsidR="00CA7094" w:rsidRDefault="00CA7094" w:rsidP="00B83A63"/>
    <w:p w:rsidR="00CA7094" w:rsidRDefault="00CA7094" w:rsidP="00B83A63">
      <w:pPr>
        <w:pStyle w:val="Teknisk4"/>
        <w:tabs>
          <w:tab w:val="left" w:pos="708"/>
        </w:tabs>
        <w:suppressAutoHyphens w:val="0"/>
        <w:rPr>
          <w:rFonts w:ascii="Times New Roman" w:hAnsi="Times New Roman" w:cs="Times New Roman"/>
          <w:u w:val="single"/>
          <w:lang w:val="nb-NO"/>
        </w:rPr>
      </w:pPr>
      <w:r>
        <w:rPr>
          <w:rFonts w:ascii="Times New Roman" w:hAnsi="Times New Roman" w:cs="Times New Roman"/>
          <w:u w:val="single"/>
          <w:lang w:val="nb-NO"/>
        </w:rPr>
        <w:t>3.</w:t>
      </w:r>
      <w:r>
        <w:rPr>
          <w:rFonts w:ascii="Times New Roman" w:hAnsi="Times New Roman" w:cs="Times New Roman"/>
          <w:u w:val="single"/>
          <w:lang w:val="nb-NO"/>
        </w:rPr>
        <w:tab/>
        <w:t>Gjennomføring</w:t>
      </w:r>
    </w:p>
    <w:p w:rsidR="00CA7094" w:rsidRDefault="00CA7094" w:rsidP="00B83A63">
      <w:pPr>
        <w:pStyle w:val="Sluttnotetekst"/>
      </w:pPr>
    </w:p>
    <w:p w:rsidR="00CA7094" w:rsidRDefault="00CA7094" w:rsidP="00B83A63">
      <w:r>
        <w:t>3.1.</w:t>
      </w:r>
      <w:r>
        <w:tab/>
        <w:t>Det kan forhandles for enkeltstillinger eller grupper av enkeltstillinger.</w:t>
      </w:r>
    </w:p>
    <w:p w:rsidR="00CA7094" w:rsidRDefault="00CA7094" w:rsidP="00B83A63">
      <w:pPr>
        <w:ind w:left="705"/>
      </w:pPr>
      <w:r>
        <w:t>I de tilfeller det forhandles for grupper av enkeltstillinger, skal hver enkelt stilling spesifiseres.</w:t>
      </w:r>
    </w:p>
    <w:p w:rsidR="00CA7094" w:rsidRDefault="00CA7094" w:rsidP="00B83A63">
      <w:pPr>
        <w:rPr>
          <w:i/>
          <w:iCs/>
        </w:rPr>
      </w:pPr>
    </w:p>
    <w:p w:rsidR="00CA7094" w:rsidRDefault="00CA7094" w:rsidP="00B83A63">
      <w:pPr>
        <w:pStyle w:val="innh6"/>
        <w:tabs>
          <w:tab w:val="left" w:pos="708"/>
        </w:tabs>
        <w:suppressAutoHyphens w:val="0"/>
        <w:rPr>
          <w:i/>
          <w:iCs/>
          <w:lang w:val="nb-NO"/>
        </w:rPr>
      </w:pPr>
      <w:r>
        <w:rPr>
          <w:lang w:val="nb-NO"/>
        </w:rPr>
        <w:t>3.2.</w:t>
      </w:r>
      <w:r>
        <w:rPr>
          <w:lang w:val="nb-NO"/>
        </w:rPr>
        <w:tab/>
        <w:t xml:space="preserve">Det kan gis opprykk for en stilling eller </w:t>
      </w:r>
      <w:r w:rsidR="00A42C17">
        <w:rPr>
          <w:lang w:val="nb-NO"/>
        </w:rPr>
        <w:t>i særlige tilfelle gis</w:t>
      </w:r>
      <w:r>
        <w:rPr>
          <w:lang w:val="nb-NO"/>
        </w:rPr>
        <w:t xml:space="preserve"> personlig opprykk. Hvorvidt det gis opprykk for stillingen eller gis personlig opprykk, må konkret fremgå av protokollen.</w:t>
      </w:r>
    </w:p>
    <w:p w:rsidR="00CA7094" w:rsidRDefault="00CA7094" w:rsidP="00B83A63"/>
    <w:p w:rsidR="00CA7094" w:rsidRDefault="00CA7094" w:rsidP="00B83A63">
      <w:pPr>
        <w:numPr>
          <w:ilvl w:val="1"/>
          <w:numId w:val="9"/>
        </w:numPr>
      </w:pPr>
      <w:r>
        <w:t xml:space="preserve">Lønnsendringer </w:t>
      </w:r>
      <w:r>
        <w:rPr>
          <w:u w:val="single"/>
        </w:rPr>
        <w:t>skal</w:t>
      </w:r>
      <w:r>
        <w:t xml:space="preserve"> foretas innenfor de sentralt fastsatte stillingskoder og lønnsrammesystemet. Lønnsrammealternativ/stillingskode hhv. pr. </w:t>
      </w:r>
      <w:r w:rsidR="00F82598">
        <w:t>30.06.</w:t>
      </w:r>
      <w:r w:rsidR="00E862A6">
        <w:t xml:space="preserve">2014 </w:t>
      </w:r>
      <w:r>
        <w:t xml:space="preserve">og </w:t>
      </w:r>
      <w:proofErr w:type="gramStart"/>
      <w:r>
        <w:t>01.</w:t>
      </w:r>
      <w:r w:rsidR="00F82598">
        <w:t>07</w:t>
      </w:r>
      <w:r>
        <w:t>.</w:t>
      </w:r>
      <w:r w:rsidR="00E862A6">
        <w:t>2014</w:t>
      </w:r>
      <w:proofErr w:type="gramEnd"/>
      <w:r w:rsidR="00E862A6">
        <w:t xml:space="preserve"> </w:t>
      </w:r>
      <w:r>
        <w:t xml:space="preserve">skal oppgis. </w:t>
      </w:r>
    </w:p>
    <w:p w:rsidR="00CA7094" w:rsidRDefault="00CA7094" w:rsidP="00B83A63"/>
    <w:p w:rsidR="00CA7094" w:rsidRDefault="00CA7094" w:rsidP="00B83A63">
      <w:pPr>
        <w:pStyle w:val="Sluttnotetekst"/>
      </w:pPr>
    </w:p>
    <w:p w:rsidR="00CA7094" w:rsidRDefault="00CA7094" w:rsidP="00B83A63">
      <w:pPr>
        <w:rPr>
          <w:b/>
          <w:bCs/>
          <w:u w:val="single"/>
        </w:rPr>
      </w:pPr>
      <w:r>
        <w:rPr>
          <w:b/>
          <w:bCs/>
          <w:u w:val="single"/>
        </w:rPr>
        <w:t>4.</w:t>
      </w:r>
      <w:r>
        <w:rPr>
          <w:b/>
          <w:bCs/>
          <w:u w:val="single"/>
        </w:rPr>
        <w:tab/>
        <w:t>Opplæring</w:t>
      </w:r>
    </w:p>
    <w:p w:rsidR="00CA7094" w:rsidRDefault="00CA7094" w:rsidP="00B83A63">
      <w:pPr>
        <w:pStyle w:val="Sluttnotetekst"/>
      </w:pPr>
    </w:p>
    <w:p w:rsidR="00CA7094" w:rsidRDefault="00CA7094" w:rsidP="00B83A63">
      <w:pPr>
        <w:ind w:left="720" w:hanging="720"/>
      </w:pPr>
      <w:r>
        <w:t>4.1.</w:t>
      </w:r>
      <w:r>
        <w:tab/>
        <w:t>Oslo kommune og de sentrale organisasjoner må hver på sin side</w:t>
      </w:r>
      <w:r>
        <w:rPr>
          <w:i/>
          <w:iCs/>
        </w:rPr>
        <w:t xml:space="preserve"> </w:t>
      </w:r>
      <w:r>
        <w:t>foreta den nødvendige skolering/opplæring av hhv. arbeidsgiversiden og arbeidstakersiden i både formelle, prosessuelle og forhandlingstekniske spørsmål før lønnspolitiske drøftinger og før de lokale forhandlinger påbegynnes.</w:t>
      </w:r>
    </w:p>
    <w:p w:rsidR="00CA7094" w:rsidRDefault="00CA7094" w:rsidP="00B83A63"/>
    <w:p w:rsidR="00CA7094" w:rsidRDefault="00CA7094" w:rsidP="00B83A63">
      <w:pPr>
        <w:rPr>
          <w:u w:val="single"/>
        </w:rPr>
      </w:pPr>
      <w:r>
        <w:rPr>
          <w:b/>
          <w:bCs/>
          <w:u w:val="single"/>
        </w:rPr>
        <w:t>5.</w:t>
      </w:r>
      <w:r>
        <w:rPr>
          <w:b/>
          <w:bCs/>
          <w:u w:val="single"/>
        </w:rPr>
        <w:tab/>
        <w:t>Resirkulerte midler</w:t>
      </w:r>
    </w:p>
    <w:p w:rsidR="00CA7094" w:rsidRDefault="00CA7094" w:rsidP="00B83A63"/>
    <w:p w:rsidR="00CA7094" w:rsidRDefault="00CA7094" w:rsidP="00B83A63">
      <w:pPr>
        <w:pStyle w:val="Brdtekstinnrykk"/>
        <w:rPr>
          <w:i w:val="0"/>
          <w:iCs w:val="0"/>
        </w:rPr>
      </w:pPr>
      <w:r>
        <w:rPr>
          <w:i w:val="0"/>
          <w:iCs w:val="0"/>
        </w:rPr>
        <w:t>5.1.</w:t>
      </w:r>
      <w:r>
        <w:rPr>
          <w:i w:val="0"/>
          <w:iCs w:val="0"/>
        </w:rPr>
        <w:tab/>
        <w:t xml:space="preserve">Resirkulerte midler </w:t>
      </w:r>
      <w:r w:rsidR="009F36BF">
        <w:rPr>
          <w:i w:val="0"/>
          <w:iCs w:val="0"/>
        </w:rPr>
        <w:t>fastsettes til</w:t>
      </w:r>
      <w:r>
        <w:rPr>
          <w:i w:val="0"/>
          <w:iCs w:val="0"/>
        </w:rPr>
        <w:t xml:space="preserve"> </w:t>
      </w:r>
      <w:r w:rsidRPr="00CB4F9A">
        <w:rPr>
          <w:i w:val="0"/>
          <w:iCs w:val="0"/>
          <w14:shadow w14:blurRad="50800" w14:dist="38100" w14:dir="2700000" w14:sx="100000" w14:sy="100000" w14:kx="0" w14:ky="0" w14:algn="tl">
            <w14:srgbClr w14:val="000000">
              <w14:alpha w14:val="60000"/>
            </w14:srgbClr>
          </w14:shadow>
        </w:rPr>
        <w:t>0,1</w:t>
      </w:r>
      <w:r>
        <w:rPr>
          <w:i w:val="0"/>
          <w:iCs w:val="0"/>
        </w:rPr>
        <w:t xml:space="preserve"> </w:t>
      </w:r>
      <w:r w:rsidR="009F36BF">
        <w:rPr>
          <w:i w:val="0"/>
          <w:iCs w:val="0"/>
        </w:rPr>
        <w:t xml:space="preserve">% </w:t>
      </w:r>
      <w:r>
        <w:rPr>
          <w:i w:val="0"/>
          <w:iCs w:val="0"/>
        </w:rPr>
        <w:t>av lønnsmassen, og tillegges potten</w:t>
      </w:r>
      <w:r w:rsidR="00F82598">
        <w:rPr>
          <w:i w:val="0"/>
          <w:iCs w:val="0"/>
        </w:rPr>
        <w:t>, jf ”Kriterier for lønnsfastsettelse og likelønn”</w:t>
      </w:r>
      <w:r w:rsidR="001E7B56">
        <w:rPr>
          <w:i w:val="0"/>
          <w:iCs w:val="0"/>
        </w:rPr>
        <w:t xml:space="preserve"> pkt 1.2.3</w:t>
      </w:r>
      <w:proofErr w:type="gramStart"/>
      <w:r w:rsidR="001E7B56">
        <w:rPr>
          <w:i w:val="0"/>
          <w:iCs w:val="0"/>
        </w:rPr>
        <w:t xml:space="preserve"> (se vedlegg til lønnsrammesystemet i </w:t>
      </w:r>
      <w:proofErr w:type="spellStart"/>
      <w:r w:rsidR="001E7B56">
        <w:rPr>
          <w:i w:val="0"/>
          <w:iCs w:val="0"/>
        </w:rPr>
        <w:t>dok</w:t>
      </w:r>
      <w:proofErr w:type="spellEnd"/>
      <w:r w:rsidR="001E7B56">
        <w:rPr>
          <w:i w:val="0"/>
          <w:iCs w:val="0"/>
        </w:rPr>
        <w:t>.</w:t>
      </w:r>
      <w:proofErr w:type="gramEnd"/>
      <w:r w:rsidR="001E7B56">
        <w:rPr>
          <w:i w:val="0"/>
          <w:iCs w:val="0"/>
        </w:rPr>
        <w:t xml:space="preserve"> 25 del B)</w:t>
      </w:r>
      <w:r w:rsidR="00F82598">
        <w:rPr>
          <w:i w:val="0"/>
          <w:iCs w:val="0"/>
        </w:rPr>
        <w:t xml:space="preserve"> </w:t>
      </w:r>
      <w:r>
        <w:rPr>
          <w:i w:val="0"/>
          <w:iCs w:val="0"/>
        </w:rPr>
        <w:t>. Det beregnes ikke resirkulerte midler i den enkelte virksomhet.</w:t>
      </w:r>
    </w:p>
    <w:p w:rsidR="00CA7094" w:rsidRDefault="00CA7094" w:rsidP="00B83A63"/>
    <w:p w:rsidR="00CA7094" w:rsidRDefault="00CA7094" w:rsidP="00B83A63">
      <w:r>
        <w:rPr>
          <w:b/>
          <w:bCs/>
          <w:u w:val="single"/>
        </w:rPr>
        <w:t>6.</w:t>
      </w:r>
      <w:r>
        <w:rPr>
          <w:b/>
          <w:bCs/>
          <w:u w:val="single"/>
        </w:rPr>
        <w:tab/>
        <w:t>Diverse</w:t>
      </w:r>
    </w:p>
    <w:p w:rsidR="00CA7094" w:rsidRDefault="00CA7094" w:rsidP="00B83A63"/>
    <w:p w:rsidR="00CA7094" w:rsidRDefault="00CA7094" w:rsidP="00B83A63"/>
    <w:p w:rsidR="00CA7094" w:rsidRPr="00CA7094" w:rsidRDefault="00704E5C" w:rsidP="00B83A63">
      <w:pPr>
        <w:rPr>
          <w:u w:val="single"/>
        </w:rPr>
      </w:pPr>
      <w:r w:rsidRPr="00704E5C">
        <w:rPr>
          <w:u w:val="single"/>
        </w:rPr>
        <w:t>6.1</w:t>
      </w:r>
      <w:r w:rsidR="00CA7094" w:rsidRPr="005528DE">
        <w:rPr>
          <w:u w:val="single"/>
        </w:rPr>
        <w:tab/>
      </w:r>
      <w:r w:rsidRPr="00704E5C">
        <w:rPr>
          <w:u w:val="single"/>
        </w:rPr>
        <w:t>Hvem som omfattes av de lokale forhandlingene</w:t>
      </w:r>
    </w:p>
    <w:p w:rsidR="00CA7094" w:rsidRDefault="00CA7094" w:rsidP="00B83A63"/>
    <w:p w:rsidR="00364E74" w:rsidRPr="00A42C17" w:rsidRDefault="00CA7094" w:rsidP="00364E74">
      <w:pPr>
        <w:ind w:left="705" w:hanging="705"/>
      </w:pPr>
      <w:r>
        <w:t>6.1.1</w:t>
      </w:r>
      <w:r>
        <w:tab/>
        <w:t>Forhandlingene omfatter alle ansatte i</w:t>
      </w:r>
      <w:r w:rsidR="00397177">
        <w:rPr>
          <w:color w:val="FF0000"/>
        </w:rPr>
        <w:t xml:space="preserve"> </w:t>
      </w:r>
      <w:r w:rsidR="00397177" w:rsidRPr="00A42C17">
        <w:t>stilling som er omfattet av stillingsregisteret</w:t>
      </w:r>
      <w:r w:rsidR="00704E5C" w:rsidRPr="00A42C17">
        <w:t>s</w:t>
      </w:r>
      <w:r w:rsidR="00397177" w:rsidRPr="00A42C17">
        <w:t xml:space="preserve"> </w:t>
      </w:r>
      <w:r w:rsidR="00704E5C" w:rsidRPr="00A42C17">
        <w:t>avtaleområde</w:t>
      </w:r>
      <w:r w:rsidR="00397177" w:rsidRPr="00A42C17">
        <w:t xml:space="preserve"> A</w:t>
      </w:r>
      <w:proofErr w:type="gramStart"/>
      <w:r w:rsidR="00A00FAE">
        <w:t xml:space="preserve"> (se stillingsregisteret i </w:t>
      </w:r>
      <w:proofErr w:type="spellStart"/>
      <w:r w:rsidR="00A00FAE">
        <w:t>dok</w:t>
      </w:r>
      <w:proofErr w:type="spellEnd"/>
      <w:r w:rsidR="00A00FAE">
        <w:t>.</w:t>
      </w:r>
      <w:proofErr w:type="gramEnd"/>
      <w:r w:rsidR="00A00FAE">
        <w:t xml:space="preserve"> 25)</w:t>
      </w:r>
      <w:r w:rsidR="00704E5C" w:rsidRPr="00A42C17">
        <w:t xml:space="preserve">. Det understrekes at også ansatte i permisjon – herunder ansatte i foreldrepermisjon </w:t>
      </w:r>
      <w:r w:rsidR="00397177" w:rsidRPr="00A42C17">
        <w:t>er</w:t>
      </w:r>
      <w:r w:rsidRPr="00A42C17">
        <w:t xml:space="preserve"> </w:t>
      </w:r>
      <w:r w:rsidR="00704E5C" w:rsidRPr="00A42C17">
        <w:t xml:space="preserve">omfattet av forhandlingene, og derfor skal vurderes. </w:t>
      </w:r>
    </w:p>
    <w:p w:rsidR="00CA7094" w:rsidRDefault="00CA7094" w:rsidP="00B83A63"/>
    <w:p w:rsidR="00CA7094" w:rsidRDefault="00CA7094" w:rsidP="00B83A63"/>
    <w:p w:rsidR="00CA7094" w:rsidRDefault="00CA7094" w:rsidP="00B83A63"/>
    <w:p w:rsidR="00CA7094" w:rsidRDefault="00CA7094" w:rsidP="00B83A63">
      <w:pPr>
        <w:rPr>
          <w:u w:val="single"/>
        </w:rPr>
      </w:pPr>
      <w:r>
        <w:rPr>
          <w:u w:val="single"/>
        </w:rPr>
        <w:t>6.2.</w:t>
      </w:r>
      <w:r>
        <w:rPr>
          <w:u w:val="single"/>
        </w:rPr>
        <w:tab/>
        <w:t>Forholdet til uorganiserte arbeidstakere</w:t>
      </w:r>
    </w:p>
    <w:p w:rsidR="00CA7094" w:rsidRDefault="00CA7094" w:rsidP="00B83A63"/>
    <w:p w:rsidR="00CA7094" w:rsidRDefault="00CA7094" w:rsidP="00B83A63">
      <w:pPr>
        <w:ind w:left="705" w:hanging="705"/>
      </w:pPr>
      <w:r>
        <w:t>6.2.1.</w:t>
      </w:r>
      <w:r>
        <w:tab/>
        <w:t>Oslo kommune vil ta med så vel organiserte som uorganiserte arbeidstakere.</w:t>
      </w:r>
    </w:p>
    <w:p w:rsidR="00CA7094" w:rsidRDefault="00CA7094" w:rsidP="00B83A63"/>
    <w:p w:rsidR="00CA7094" w:rsidRDefault="00CA7094" w:rsidP="00B83A63">
      <w:pPr>
        <w:ind w:left="708" w:hanging="705"/>
      </w:pPr>
      <w:r>
        <w:t>6.2.2.</w:t>
      </w:r>
      <w:r>
        <w:tab/>
        <w:t>Forhandlingssammenslutningene presiserte at organisasjonene forhandler på vegne av de organiserte arbeidstakerne i de enkelte virksomheter. Sammenslutningene forutsetter at tilbud til uorganiserte minimaliseres.</w:t>
      </w:r>
    </w:p>
    <w:p w:rsidR="00A42C17" w:rsidRDefault="00A42C17" w:rsidP="00B83A63">
      <w:pPr>
        <w:ind w:left="708" w:hanging="705"/>
      </w:pPr>
    </w:p>
    <w:p w:rsidR="00A42C17" w:rsidRDefault="00A42C17" w:rsidP="00B83A63">
      <w:pPr>
        <w:ind w:left="708" w:hanging="705"/>
      </w:pPr>
      <w:r>
        <w:t>6.2.3</w:t>
      </w:r>
      <w:r>
        <w:tab/>
        <w:t>Partene er enige om at disse spørsmål bør drøftes mellom de lokale parter i forkant av forhandlingene, jfr. Pkt. 2.3.1.</w:t>
      </w:r>
    </w:p>
    <w:p w:rsidR="00CA7094" w:rsidRDefault="00CA7094" w:rsidP="00B83A63"/>
    <w:p w:rsidR="00CA7094" w:rsidRDefault="00CA7094" w:rsidP="00B83A63"/>
    <w:p w:rsidR="00CA7094" w:rsidRDefault="00CA7094" w:rsidP="00B83A63"/>
    <w:p w:rsidR="00CA7094" w:rsidRDefault="00CA7094" w:rsidP="00B83A63">
      <w:pPr>
        <w:rPr>
          <w:u w:val="single"/>
        </w:rPr>
      </w:pPr>
      <w:r>
        <w:rPr>
          <w:u w:val="single"/>
        </w:rPr>
        <w:t>6.3.</w:t>
      </w:r>
      <w:r>
        <w:rPr>
          <w:u w:val="single"/>
        </w:rPr>
        <w:tab/>
        <w:t>Administrativt personale</w:t>
      </w:r>
    </w:p>
    <w:p w:rsidR="00CA7094" w:rsidRDefault="00CA7094" w:rsidP="00B83A63">
      <w:pPr>
        <w:rPr>
          <w:i/>
          <w:iCs/>
        </w:rPr>
      </w:pPr>
    </w:p>
    <w:p w:rsidR="00CA7094" w:rsidRDefault="00CA7094" w:rsidP="00B83A63">
      <w:pPr>
        <w:ind w:left="708" w:hanging="708"/>
      </w:pPr>
      <w:r>
        <w:tab/>
      </w:r>
    </w:p>
    <w:p w:rsidR="00CA7094" w:rsidRDefault="00CA7094" w:rsidP="00B83A63">
      <w:pPr>
        <w:pStyle w:val="Sluttnotetekst"/>
      </w:pPr>
    </w:p>
    <w:p w:rsidR="00CA7094" w:rsidRDefault="00CA7094" w:rsidP="00B83A63">
      <w:r>
        <w:t>6.3.1.</w:t>
      </w:r>
      <w:r>
        <w:tab/>
        <w:t>Administrativt personale som deltar i forhandlingene på arbeidsgiversiden skal</w:t>
      </w:r>
    </w:p>
    <w:p w:rsidR="00CA7094" w:rsidRDefault="00CA7094" w:rsidP="00B83A63">
      <w:r>
        <w:tab/>
      </w:r>
      <w:proofErr w:type="gramStart"/>
      <w:r>
        <w:t>fratre ved eventuell behandling av egne saker.</w:t>
      </w:r>
      <w:proofErr w:type="gramEnd"/>
    </w:p>
    <w:p w:rsidR="00CA7094" w:rsidRDefault="00CA7094" w:rsidP="00B83A63"/>
    <w:p w:rsidR="00CA7094" w:rsidRDefault="00CA7094" w:rsidP="00B83A63">
      <w:pPr>
        <w:rPr>
          <w:u w:val="single"/>
        </w:rPr>
      </w:pPr>
      <w:r>
        <w:rPr>
          <w:u w:val="single"/>
        </w:rPr>
        <w:t>6.4.</w:t>
      </w:r>
      <w:r>
        <w:rPr>
          <w:u w:val="single"/>
        </w:rPr>
        <w:tab/>
        <w:t>Krav for tillitsvalgte</w:t>
      </w:r>
    </w:p>
    <w:p w:rsidR="00CA7094" w:rsidRDefault="00CA7094" w:rsidP="00B83A63"/>
    <w:p w:rsidR="00CA7094" w:rsidRDefault="00CA7094" w:rsidP="00B83A63">
      <w:pPr>
        <w:ind w:left="705" w:hanging="705"/>
      </w:pPr>
      <w:r>
        <w:t>6.4.1.</w:t>
      </w:r>
      <w:r>
        <w:tab/>
        <w:t>Dersom det er fremmet krav for tillitsvalgt som deltar i forhandlingene, skal disse fratre ved behandlingen av eget krav.</w:t>
      </w:r>
    </w:p>
    <w:p w:rsidR="00CA7094" w:rsidRDefault="00CA7094" w:rsidP="00B83A63"/>
    <w:p w:rsidR="00CA7094" w:rsidRDefault="00CA7094" w:rsidP="00B83A63">
      <w:pPr>
        <w:ind w:left="720" w:hanging="720"/>
      </w:pPr>
      <w:r>
        <w:t>6.4.2.</w:t>
      </w:r>
      <w:r>
        <w:tab/>
        <w:t>Lønn for hovedtillitsvalgte/tillitsvalgte fastsettes i sentrale forhandlinger, jfr. Avtale om fastlønte tillitsvalgte i Oslo kommune § 5. Den lønnsplassering som er fastsatt for hovedtillitsvalgte/tillitsvalgte i egenskap av hovedtillitsvalgte/tillitsvalgte i medhold av nevnte bestemmelse kan ikke behandles i lokale forhandlinger.</w:t>
      </w:r>
    </w:p>
    <w:p w:rsidR="00CA7094" w:rsidRDefault="00CA7094" w:rsidP="00B83A63"/>
    <w:p w:rsidR="00CA7094" w:rsidRDefault="00CA7094" w:rsidP="00B83A63">
      <w:pPr>
        <w:rPr>
          <w:u w:val="single"/>
        </w:rPr>
      </w:pPr>
      <w:r>
        <w:rPr>
          <w:u w:val="single"/>
        </w:rPr>
        <w:t>6.5.</w:t>
      </w:r>
      <w:r>
        <w:rPr>
          <w:u w:val="single"/>
        </w:rPr>
        <w:tab/>
        <w:t>Besatte/ubesatte stillinger</w:t>
      </w:r>
    </w:p>
    <w:p w:rsidR="00CA7094" w:rsidRDefault="00CA7094" w:rsidP="00B83A63"/>
    <w:p w:rsidR="00CA7094" w:rsidRDefault="00CA7094" w:rsidP="00B83A63">
      <w:r>
        <w:t>6.5.1.</w:t>
      </w:r>
      <w:r>
        <w:tab/>
        <w:t xml:space="preserve">Det kan forhandles for så vel besatte stillinger som stillinger som er ubesatt, men </w:t>
      </w:r>
      <w:r>
        <w:tab/>
        <w:t>hvor intervjuprosessen er påbegynt.</w:t>
      </w:r>
    </w:p>
    <w:p w:rsidR="00CA7094" w:rsidRDefault="00CA7094" w:rsidP="00B83A63">
      <w:pPr>
        <w:rPr>
          <w:b/>
          <w:bCs/>
          <w:u w:val="single"/>
        </w:rPr>
      </w:pPr>
    </w:p>
    <w:p w:rsidR="00CA7094" w:rsidRDefault="00CA7094" w:rsidP="00B83A63">
      <w:pPr>
        <w:rPr>
          <w:b/>
          <w:bCs/>
          <w:u w:val="single"/>
        </w:rPr>
      </w:pPr>
      <w:r>
        <w:rPr>
          <w:b/>
          <w:bCs/>
          <w:u w:val="single"/>
        </w:rPr>
        <w:t>7.</w:t>
      </w:r>
      <w:r>
        <w:rPr>
          <w:b/>
          <w:bCs/>
          <w:u w:val="single"/>
        </w:rPr>
        <w:tab/>
        <w:t>Avtaleslutning</w:t>
      </w:r>
    </w:p>
    <w:p w:rsidR="00CA7094" w:rsidRDefault="00CA7094" w:rsidP="00B83A63"/>
    <w:p w:rsidR="00CA7094" w:rsidRDefault="00CA7094" w:rsidP="00B83A63">
      <w:pPr>
        <w:numPr>
          <w:ilvl w:val="1"/>
          <w:numId w:val="10"/>
        </w:numPr>
      </w:pPr>
      <w:r>
        <w:t>Forutsetninger:</w:t>
      </w:r>
    </w:p>
    <w:p w:rsidR="00CA7094" w:rsidRDefault="00CA7094" w:rsidP="00B83A63"/>
    <w:p w:rsidR="00CA7094" w:rsidRDefault="00CA7094" w:rsidP="00B83A63">
      <w:pPr>
        <w:ind w:left="720"/>
      </w:pPr>
      <w:r>
        <w:t>Gjeldende lønnsrammer og stillingskoder legges til grunn.</w:t>
      </w:r>
    </w:p>
    <w:p w:rsidR="00CA7094" w:rsidRDefault="00CA7094" w:rsidP="00B83A63">
      <w:pPr>
        <w:ind w:left="720"/>
      </w:pPr>
    </w:p>
    <w:p w:rsidR="00CA7094" w:rsidRDefault="00CA7094" w:rsidP="00B83A63">
      <w:pPr>
        <w:ind w:left="720"/>
      </w:pPr>
      <w:r>
        <w:lastRenderedPageBreak/>
        <w:t>Resultatet skal ikke ha økonomiske konsekvenser for andre personer/stillinger enn de som er konkret opplistet i protokollen eller i vedlegg. Det er eksempelvis ikke adgang til å avtale lokale opprykksordninger eller heve det sentralt avtalte innplasseringsnivået for stillinger.</w:t>
      </w:r>
    </w:p>
    <w:p w:rsidR="00CA7094" w:rsidRDefault="00CA7094" w:rsidP="00B83A63"/>
    <w:p w:rsidR="00CA7094" w:rsidRDefault="00CA7094" w:rsidP="00B83A63">
      <w:pPr>
        <w:pStyle w:val="Brdtekst"/>
        <w:ind w:left="720" w:hanging="720"/>
        <w:rPr>
          <w:i w:val="0"/>
          <w:iCs w:val="0"/>
        </w:rPr>
      </w:pPr>
      <w:r>
        <w:rPr>
          <w:i w:val="0"/>
          <w:iCs w:val="0"/>
        </w:rPr>
        <w:t>7.2.</w:t>
      </w:r>
      <w:r>
        <w:rPr>
          <w:i w:val="0"/>
          <w:iCs w:val="0"/>
        </w:rPr>
        <w:tab/>
        <w:t>Når virksomhetens siste og endelige tilbud er fremlagt innenfor de forutsetninger og rammer som gjelder for forhandlingene, kan det inngås avtale med de organisasjoner som aksepterer tilbudet. Uenighet må fremkomme i protokollen. Organisasjoner som ikke aksepterer tilbudet, sender saken umiddelbart til sin sentrale organisasjon, som eventuelt kan bringe uenigheten inn til sentrale forhandlinger.</w:t>
      </w:r>
    </w:p>
    <w:p w:rsidR="00CA7094" w:rsidRDefault="00CA7094" w:rsidP="00B83A63">
      <w:pPr>
        <w:ind w:left="720"/>
      </w:pPr>
    </w:p>
    <w:p w:rsidR="00CA7094" w:rsidRDefault="00CA7094" w:rsidP="00B83A63">
      <w:pPr>
        <w:ind w:left="720"/>
      </w:pPr>
      <w:r>
        <w:t xml:space="preserve">I et slikt tilfelle skal det i tilknytning til virksomhetens meddelelse om resultatet av forhandlingene understrekes at det foreligger et brudd med en eller flere organisasjoner. Resultatet for disse organisasjoners vedkommende skal ikke meddeles før </w:t>
      </w:r>
      <w:r>
        <w:rPr>
          <w:u w:val="single"/>
        </w:rPr>
        <w:t>endelig</w:t>
      </w:r>
      <w:r>
        <w:t xml:space="preserve"> resultat foreligger.</w:t>
      </w:r>
    </w:p>
    <w:p w:rsidR="00CA7094" w:rsidRDefault="00CA7094" w:rsidP="00B83A63">
      <w:pPr>
        <w:pStyle w:val="AvsntilhQy1"/>
        <w:tabs>
          <w:tab w:val="clear" w:pos="0"/>
          <w:tab w:val="clear" w:pos="720"/>
          <w:tab w:val="left" w:pos="708"/>
        </w:tabs>
        <w:suppressAutoHyphens w:val="0"/>
        <w:rPr>
          <w:rFonts w:ascii="Times New Roman" w:hAnsi="Times New Roman" w:cs="Times New Roman"/>
          <w:lang w:val="nb-NO"/>
        </w:rPr>
      </w:pPr>
    </w:p>
    <w:p w:rsidR="00CA7094" w:rsidRDefault="00CA7094" w:rsidP="00B83A63">
      <w:pPr>
        <w:ind w:left="720"/>
      </w:pPr>
      <w:r>
        <w:t xml:space="preserve">Dersom man ikke kommer til enighet i sentrale forhandlinger, kan </w:t>
      </w:r>
    </w:p>
    <w:p w:rsidR="00CA7094" w:rsidRDefault="00CA7094" w:rsidP="00B83A63">
      <w:pPr>
        <w:ind w:left="720"/>
      </w:pPr>
      <w:r>
        <w:t xml:space="preserve">tvisten bringes inn for ankeutvalget, jfr. </w:t>
      </w:r>
      <w:proofErr w:type="spellStart"/>
      <w:r>
        <w:t>f.best</w:t>
      </w:r>
      <w:proofErr w:type="spellEnd"/>
      <w:r>
        <w:t xml:space="preserve">. § 16, pkt.16.3. </w:t>
      </w:r>
    </w:p>
    <w:p w:rsidR="00CA7094" w:rsidRDefault="00CA7094" w:rsidP="00B83A63"/>
    <w:p w:rsidR="00CA7094" w:rsidRDefault="00CA7094" w:rsidP="00B83A63">
      <w:pPr>
        <w:ind w:left="720"/>
      </w:pPr>
      <w:r>
        <w:t xml:space="preserve">Dersom anken, kfr. pkt. 2.7., ikke er fremsatt innen </w:t>
      </w:r>
      <w:r w:rsidR="00E862A6">
        <w:t>05</w:t>
      </w:r>
      <w:r>
        <w:t>.12.</w:t>
      </w:r>
      <w:r w:rsidR="00E862A6">
        <w:t>2014</w:t>
      </w:r>
      <w:r>
        <w:rPr>
          <w:b/>
          <w:bCs/>
        </w:rPr>
        <w:t>,</w:t>
      </w:r>
      <w:r>
        <w:t xml:space="preserve"> gjøres kommunens endelige tilbud gjeldende også for disse organisasjoner.</w:t>
      </w:r>
    </w:p>
    <w:p w:rsidR="00CA7094" w:rsidRDefault="00CA7094" w:rsidP="00B83A63">
      <w:pPr>
        <w:rPr>
          <w:b/>
          <w:bCs/>
          <w:u w:val="single"/>
        </w:rPr>
      </w:pPr>
    </w:p>
    <w:p w:rsidR="00CA7094" w:rsidRDefault="00CA7094" w:rsidP="00B83A63">
      <w:pPr>
        <w:rPr>
          <w:b/>
          <w:bCs/>
          <w:u w:val="single"/>
        </w:rPr>
      </w:pPr>
      <w:r>
        <w:rPr>
          <w:b/>
          <w:bCs/>
          <w:u w:val="single"/>
        </w:rPr>
        <w:t>8.</w:t>
      </w:r>
      <w:r>
        <w:rPr>
          <w:b/>
          <w:bCs/>
          <w:u w:val="single"/>
        </w:rPr>
        <w:tab/>
        <w:t>Tidsrammen</w:t>
      </w:r>
    </w:p>
    <w:p w:rsidR="00CA7094" w:rsidRDefault="00CA7094" w:rsidP="00B83A63">
      <w:pPr>
        <w:pStyle w:val="Sluttnotetekst"/>
      </w:pPr>
    </w:p>
    <w:p w:rsidR="00CA7094" w:rsidRDefault="00CA7094" w:rsidP="00B83A63">
      <w:pPr>
        <w:ind w:left="708"/>
      </w:pPr>
      <w:r>
        <w:t>Det understrekes at de frister som er fastsatt i disse retningslinjene må overholdes.</w:t>
      </w:r>
    </w:p>
    <w:p w:rsidR="00CA7094" w:rsidRDefault="00CA7094" w:rsidP="00B83A63">
      <w:pPr>
        <w:pStyle w:val="Sluttnotetekst"/>
      </w:pPr>
    </w:p>
    <w:p w:rsidR="00CA7094" w:rsidRDefault="00CA7094" w:rsidP="00316982">
      <w:pPr>
        <w:pStyle w:val="Tekst"/>
        <w:ind w:left="0"/>
      </w:pPr>
    </w:p>
    <w:sectPr w:rsidR="00CA7094" w:rsidSect="00BE69B8">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98" w:rsidRDefault="00F82598" w:rsidP="00451FDC">
      <w:r>
        <w:separator/>
      </w:r>
    </w:p>
  </w:endnote>
  <w:endnote w:type="continuationSeparator" w:id="0">
    <w:p w:rsidR="00F82598" w:rsidRDefault="00F82598" w:rsidP="0045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98" w:rsidRDefault="00F8259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Layout w:type="fixed"/>
      <w:tblCellMar>
        <w:left w:w="0" w:type="dxa"/>
        <w:right w:w="0" w:type="dxa"/>
      </w:tblCellMar>
      <w:tblLook w:val="0000" w:firstRow="0" w:lastRow="0" w:firstColumn="0" w:lastColumn="0" w:noHBand="0" w:noVBand="0"/>
    </w:tblPr>
    <w:tblGrid>
      <w:gridCol w:w="1701"/>
      <w:gridCol w:w="3261"/>
      <w:gridCol w:w="1984"/>
      <w:gridCol w:w="2552"/>
    </w:tblGrid>
    <w:tr w:rsidR="00F82598">
      <w:trPr>
        <w:trHeight w:val="340"/>
      </w:trPr>
      <w:tc>
        <w:tcPr>
          <w:tcW w:w="1701" w:type="dxa"/>
        </w:tcPr>
        <w:p w:rsidR="00F82598" w:rsidRDefault="00F82598" w:rsidP="000E58D5">
          <w:pPr>
            <w:rPr>
              <w:b/>
              <w:bCs/>
            </w:rPr>
          </w:pPr>
          <w:bookmarkStart w:id="1" w:name="Vår_referanse"/>
          <w:bookmarkStart w:id="2" w:name="Vår_referanseT" w:colFirst="2" w:colLast="2"/>
        </w:p>
      </w:tc>
      <w:tc>
        <w:tcPr>
          <w:tcW w:w="3261" w:type="dxa"/>
        </w:tcPr>
        <w:p w:rsidR="00F82598" w:rsidRDefault="00F82598" w:rsidP="000E58D5">
          <w:pPr>
            <w:ind w:left="71"/>
          </w:pPr>
        </w:p>
      </w:tc>
      <w:tc>
        <w:tcPr>
          <w:tcW w:w="1984" w:type="dxa"/>
        </w:tcPr>
        <w:p w:rsidR="00F82598" w:rsidRDefault="00F82598" w:rsidP="000E58D5">
          <w:pPr>
            <w:rPr>
              <w:b/>
              <w:bCs/>
            </w:rPr>
          </w:pPr>
        </w:p>
      </w:tc>
      <w:tc>
        <w:tcPr>
          <w:tcW w:w="2552" w:type="dxa"/>
        </w:tcPr>
        <w:p w:rsidR="00F82598" w:rsidRDefault="00F82598" w:rsidP="000E58D5">
          <w:r>
            <w:t>201003473-1</w:t>
          </w:r>
        </w:p>
      </w:tc>
    </w:tr>
    <w:bookmarkEnd w:id="1"/>
    <w:bookmarkEnd w:id="2"/>
  </w:tbl>
  <w:p w:rsidR="00F82598" w:rsidRDefault="00F8259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98" w:rsidRDefault="00F82598" w:rsidP="00451FDC">
      <w:r>
        <w:separator/>
      </w:r>
    </w:p>
  </w:footnote>
  <w:footnote w:type="continuationSeparator" w:id="0">
    <w:p w:rsidR="00F82598" w:rsidRDefault="00F82598" w:rsidP="00451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98" w:rsidRDefault="00E862A6">
    <w:pPr>
      <w:pStyle w:val="Topptekst"/>
      <w:jc w:val="right"/>
    </w:pPr>
    <w:r>
      <w:fldChar w:fldCharType="begin"/>
    </w:r>
    <w:r>
      <w:instrText xml:space="preserve"> PAGE  \* MERGEFORMAT </w:instrText>
    </w:r>
    <w:r>
      <w:fldChar w:fldCharType="separate"/>
    </w:r>
    <w:r w:rsidR="001559E0">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98" w:rsidRDefault="00F82598">
    <w:pPr>
      <w:pStyle w:val="Topptekst"/>
      <w:rPr>
        <w:sz w:val="12"/>
        <w:szCs w:val="12"/>
      </w:rPr>
    </w:pPr>
  </w:p>
  <w:p w:rsidR="00F82598" w:rsidRDefault="00F82598">
    <w:pPr>
      <w:pStyle w:val="Toppteks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7C56"/>
    <w:multiLevelType w:val="multilevel"/>
    <w:tmpl w:val="8FFAFD2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AED00F1"/>
    <w:multiLevelType w:val="multilevel"/>
    <w:tmpl w:val="A7A4C256"/>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12E0899"/>
    <w:multiLevelType w:val="multilevel"/>
    <w:tmpl w:val="F466A89E"/>
    <w:lvl w:ilvl="0">
      <w:start w:val="2"/>
      <w:numFmt w:val="decimal"/>
      <w:lvlText w:val="%1."/>
      <w:lvlJc w:val="left"/>
      <w:pPr>
        <w:tabs>
          <w:tab w:val="num" w:pos="524"/>
        </w:tabs>
        <w:ind w:left="524" w:hanging="524"/>
      </w:pPr>
      <w:rPr>
        <w:rFonts w:hint="default"/>
      </w:rPr>
    </w:lvl>
    <w:lvl w:ilvl="1">
      <w:start w:val="5"/>
      <w:numFmt w:val="decimal"/>
      <w:lvlText w:val="%1.%2."/>
      <w:lvlJc w:val="left"/>
      <w:pPr>
        <w:tabs>
          <w:tab w:val="num" w:pos="524"/>
        </w:tabs>
        <w:ind w:left="524" w:hanging="5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E57FF8"/>
    <w:multiLevelType w:val="multilevel"/>
    <w:tmpl w:val="209425C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98C69C3"/>
    <w:multiLevelType w:val="multilevel"/>
    <w:tmpl w:val="3F5884E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AF86AB0"/>
    <w:multiLevelType w:val="multilevel"/>
    <w:tmpl w:val="69F6A2F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kivnr" w:val="w:rsidR"/>
    <w:docVar w:name="dlviewfile" w:val="yes"/>
    <w:docVar w:name="DokAvdNavn" w:val="レㄬňǼ㙬ㅝ"/>
    <w:docVar w:name="Kontaktperson" w:val="レㄬňǼ㙬ㅝÈ௠ƌᦠƅ賐 ௠ƌ䔨ƌȂḀ"/>
  </w:docVars>
  <w:rsids>
    <w:rsidRoot w:val="009A00A5"/>
    <w:rsid w:val="00017687"/>
    <w:rsid w:val="00037FA0"/>
    <w:rsid w:val="0004640F"/>
    <w:rsid w:val="000570AE"/>
    <w:rsid w:val="00060651"/>
    <w:rsid w:val="000751FF"/>
    <w:rsid w:val="00081CE7"/>
    <w:rsid w:val="00085919"/>
    <w:rsid w:val="000B12EF"/>
    <w:rsid w:val="000C7498"/>
    <w:rsid w:val="000D26C2"/>
    <w:rsid w:val="000E0C92"/>
    <w:rsid w:val="000E58D5"/>
    <w:rsid w:val="000F3231"/>
    <w:rsid w:val="0011709D"/>
    <w:rsid w:val="00132E1D"/>
    <w:rsid w:val="001559E0"/>
    <w:rsid w:val="00183D57"/>
    <w:rsid w:val="001A6C1B"/>
    <w:rsid w:val="001C139E"/>
    <w:rsid w:val="001C40F7"/>
    <w:rsid w:val="001E7B56"/>
    <w:rsid w:val="00251E20"/>
    <w:rsid w:val="00264182"/>
    <w:rsid w:val="0027160A"/>
    <w:rsid w:val="002830FE"/>
    <w:rsid w:val="002942E8"/>
    <w:rsid w:val="002B0535"/>
    <w:rsid w:val="002E7C58"/>
    <w:rsid w:val="00316982"/>
    <w:rsid w:val="003244CA"/>
    <w:rsid w:val="00364E74"/>
    <w:rsid w:val="0039238C"/>
    <w:rsid w:val="00397177"/>
    <w:rsid w:val="003B7508"/>
    <w:rsid w:val="003C7CCF"/>
    <w:rsid w:val="003C7E48"/>
    <w:rsid w:val="003E5A46"/>
    <w:rsid w:val="003E7CA2"/>
    <w:rsid w:val="004317BB"/>
    <w:rsid w:val="00442BBC"/>
    <w:rsid w:val="00451FDC"/>
    <w:rsid w:val="00473FFF"/>
    <w:rsid w:val="00493F92"/>
    <w:rsid w:val="004A12EC"/>
    <w:rsid w:val="004A2146"/>
    <w:rsid w:val="004B086F"/>
    <w:rsid w:val="004C61E4"/>
    <w:rsid w:val="004F3935"/>
    <w:rsid w:val="00514A6E"/>
    <w:rsid w:val="00520ECA"/>
    <w:rsid w:val="005528DE"/>
    <w:rsid w:val="005561AB"/>
    <w:rsid w:val="00557898"/>
    <w:rsid w:val="00584431"/>
    <w:rsid w:val="005A3C97"/>
    <w:rsid w:val="005A7932"/>
    <w:rsid w:val="005B1BE5"/>
    <w:rsid w:val="005B4F15"/>
    <w:rsid w:val="005C564F"/>
    <w:rsid w:val="005D6B52"/>
    <w:rsid w:val="005E34BE"/>
    <w:rsid w:val="00624063"/>
    <w:rsid w:val="00636644"/>
    <w:rsid w:val="006A37AE"/>
    <w:rsid w:val="0070268C"/>
    <w:rsid w:val="00704E5C"/>
    <w:rsid w:val="007103A5"/>
    <w:rsid w:val="0072331F"/>
    <w:rsid w:val="00747BB4"/>
    <w:rsid w:val="00753B66"/>
    <w:rsid w:val="00755F89"/>
    <w:rsid w:val="00774D2A"/>
    <w:rsid w:val="0078681B"/>
    <w:rsid w:val="00790C3D"/>
    <w:rsid w:val="0079459D"/>
    <w:rsid w:val="007A5B21"/>
    <w:rsid w:val="007D2925"/>
    <w:rsid w:val="007D2932"/>
    <w:rsid w:val="00801B7C"/>
    <w:rsid w:val="00823A45"/>
    <w:rsid w:val="00827B9A"/>
    <w:rsid w:val="008340B1"/>
    <w:rsid w:val="00834AA2"/>
    <w:rsid w:val="00840BFD"/>
    <w:rsid w:val="00855808"/>
    <w:rsid w:val="00864B7B"/>
    <w:rsid w:val="00885E97"/>
    <w:rsid w:val="008A12F9"/>
    <w:rsid w:val="008A5A0F"/>
    <w:rsid w:val="008D64C7"/>
    <w:rsid w:val="008F2147"/>
    <w:rsid w:val="00930336"/>
    <w:rsid w:val="00947023"/>
    <w:rsid w:val="00950A2D"/>
    <w:rsid w:val="009A00A5"/>
    <w:rsid w:val="009B5F4E"/>
    <w:rsid w:val="009B7A44"/>
    <w:rsid w:val="009C1EC6"/>
    <w:rsid w:val="009E4C5B"/>
    <w:rsid w:val="009F36BF"/>
    <w:rsid w:val="009F7722"/>
    <w:rsid w:val="00A00FAE"/>
    <w:rsid w:val="00A054DD"/>
    <w:rsid w:val="00A3546F"/>
    <w:rsid w:val="00A42C17"/>
    <w:rsid w:val="00A47E27"/>
    <w:rsid w:val="00A65EA8"/>
    <w:rsid w:val="00A7013B"/>
    <w:rsid w:val="00A7707F"/>
    <w:rsid w:val="00A863D2"/>
    <w:rsid w:val="00AA0CDB"/>
    <w:rsid w:val="00AA21F0"/>
    <w:rsid w:val="00AF3665"/>
    <w:rsid w:val="00AF398E"/>
    <w:rsid w:val="00B001A1"/>
    <w:rsid w:val="00B0039C"/>
    <w:rsid w:val="00B037D0"/>
    <w:rsid w:val="00B04BF1"/>
    <w:rsid w:val="00B20610"/>
    <w:rsid w:val="00B24F3E"/>
    <w:rsid w:val="00B33D34"/>
    <w:rsid w:val="00B37374"/>
    <w:rsid w:val="00B55EBE"/>
    <w:rsid w:val="00B622EA"/>
    <w:rsid w:val="00B83A63"/>
    <w:rsid w:val="00BA5223"/>
    <w:rsid w:val="00BC7DB9"/>
    <w:rsid w:val="00BD03E3"/>
    <w:rsid w:val="00BE69B8"/>
    <w:rsid w:val="00BE70BD"/>
    <w:rsid w:val="00C00885"/>
    <w:rsid w:val="00C06F22"/>
    <w:rsid w:val="00C41933"/>
    <w:rsid w:val="00C433C3"/>
    <w:rsid w:val="00C73516"/>
    <w:rsid w:val="00CA1199"/>
    <w:rsid w:val="00CA7094"/>
    <w:rsid w:val="00CB1EFF"/>
    <w:rsid w:val="00CB4F9A"/>
    <w:rsid w:val="00CE008D"/>
    <w:rsid w:val="00CF7C6A"/>
    <w:rsid w:val="00D023EB"/>
    <w:rsid w:val="00D237C2"/>
    <w:rsid w:val="00D40B9E"/>
    <w:rsid w:val="00DB5244"/>
    <w:rsid w:val="00DE46F3"/>
    <w:rsid w:val="00DE6C94"/>
    <w:rsid w:val="00E15E89"/>
    <w:rsid w:val="00E23A20"/>
    <w:rsid w:val="00E30EB8"/>
    <w:rsid w:val="00E43AEA"/>
    <w:rsid w:val="00E6511A"/>
    <w:rsid w:val="00E84383"/>
    <w:rsid w:val="00E862A6"/>
    <w:rsid w:val="00F2734C"/>
    <w:rsid w:val="00F27995"/>
    <w:rsid w:val="00F367B1"/>
    <w:rsid w:val="00F42C0E"/>
    <w:rsid w:val="00F51532"/>
    <w:rsid w:val="00F82598"/>
    <w:rsid w:val="00F90931"/>
    <w:rsid w:val="00FB6C59"/>
    <w:rsid w:val="00FC17EF"/>
    <w:rsid w:val="00FD6F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63"/>
    <w:rPr>
      <w:sz w:val="24"/>
      <w:szCs w:val="24"/>
    </w:rPr>
  </w:style>
  <w:style w:type="paragraph" w:styleId="Overskrift1">
    <w:name w:val="heading 1"/>
    <w:basedOn w:val="Normal"/>
    <w:next w:val="Normal"/>
    <w:link w:val="Overskrift1Tegn"/>
    <w:uiPriority w:val="99"/>
    <w:qFormat/>
    <w:rsid w:val="002942E8"/>
    <w:pPr>
      <w:keepNext/>
      <w:pBdr>
        <w:bottom w:val="single" w:sz="48" w:space="1" w:color="auto"/>
      </w:pBdr>
      <w:ind w:left="6237" w:right="425"/>
      <w:outlineLvl w:val="0"/>
    </w:pPr>
    <w:rPr>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0751FF"/>
    <w:rPr>
      <w:rFonts w:ascii="Cambria" w:hAnsi="Cambria" w:cs="Cambria"/>
      <w:b/>
      <w:bCs/>
      <w:kern w:val="32"/>
      <w:sz w:val="32"/>
      <w:szCs w:val="32"/>
    </w:rPr>
  </w:style>
  <w:style w:type="paragraph" w:styleId="Topptekst">
    <w:name w:val="header"/>
    <w:basedOn w:val="Normal"/>
    <w:link w:val="TopptekstTegn"/>
    <w:uiPriority w:val="99"/>
    <w:rsid w:val="002942E8"/>
    <w:pPr>
      <w:tabs>
        <w:tab w:val="center" w:pos="4536"/>
        <w:tab w:val="right" w:pos="9072"/>
      </w:tabs>
    </w:pPr>
  </w:style>
  <w:style w:type="character" w:customStyle="1" w:styleId="TopptekstTegn">
    <w:name w:val="Topptekst Tegn"/>
    <w:basedOn w:val="Standardskriftforavsnitt"/>
    <w:link w:val="Topptekst"/>
    <w:uiPriority w:val="99"/>
    <w:semiHidden/>
    <w:rsid w:val="000751FF"/>
    <w:rPr>
      <w:sz w:val="24"/>
      <w:szCs w:val="24"/>
    </w:rPr>
  </w:style>
  <w:style w:type="paragraph" w:styleId="Bunntekst">
    <w:name w:val="footer"/>
    <w:basedOn w:val="Normal"/>
    <w:link w:val="BunntekstTegn"/>
    <w:uiPriority w:val="99"/>
    <w:rsid w:val="002942E8"/>
    <w:pPr>
      <w:tabs>
        <w:tab w:val="center" w:pos="4536"/>
        <w:tab w:val="right" w:pos="9072"/>
      </w:tabs>
    </w:pPr>
  </w:style>
  <w:style w:type="character" w:customStyle="1" w:styleId="BunntekstTegn">
    <w:name w:val="Bunntekst Tegn"/>
    <w:basedOn w:val="Standardskriftforavsnitt"/>
    <w:link w:val="Bunntekst"/>
    <w:uiPriority w:val="99"/>
    <w:semiHidden/>
    <w:rsid w:val="000751FF"/>
    <w:rPr>
      <w:sz w:val="24"/>
      <w:szCs w:val="24"/>
    </w:rPr>
  </w:style>
  <w:style w:type="paragraph" w:customStyle="1" w:styleId="Tekst">
    <w:name w:val="Tekst"/>
    <w:uiPriority w:val="99"/>
    <w:rsid w:val="002942E8"/>
    <w:pPr>
      <w:ind w:left="1503"/>
    </w:pPr>
    <w:rPr>
      <w:noProof/>
      <w:sz w:val="24"/>
      <w:szCs w:val="24"/>
    </w:rPr>
  </w:style>
  <w:style w:type="paragraph" w:styleId="Sluttnotetekst">
    <w:name w:val="endnote text"/>
    <w:basedOn w:val="Normal"/>
    <w:link w:val="SluttnotetekstTegn"/>
    <w:uiPriority w:val="99"/>
    <w:semiHidden/>
    <w:rsid w:val="00885E97"/>
  </w:style>
  <w:style w:type="character" w:customStyle="1" w:styleId="SluttnotetekstTegn">
    <w:name w:val="Sluttnotetekst Tegn"/>
    <w:basedOn w:val="Standardskriftforavsnitt"/>
    <w:link w:val="Sluttnotetekst"/>
    <w:uiPriority w:val="99"/>
    <w:semiHidden/>
    <w:rsid w:val="000751FF"/>
    <w:rPr>
      <w:sz w:val="20"/>
      <w:szCs w:val="20"/>
    </w:rPr>
  </w:style>
  <w:style w:type="paragraph" w:customStyle="1" w:styleId="AvsntilhQy1">
    <w:name w:val="Avsn til hÀQÀy 1"/>
    <w:uiPriority w:val="99"/>
    <w:rsid w:val="00885E97"/>
    <w:pPr>
      <w:tabs>
        <w:tab w:val="left" w:pos="-720"/>
        <w:tab w:val="left" w:pos="0"/>
        <w:tab w:val="decimal" w:pos="720"/>
      </w:tabs>
      <w:suppressAutoHyphens/>
      <w:ind w:left="720"/>
    </w:pPr>
    <w:rPr>
      <w:rFonts w:ascii="Courier New" w:hAnsi="Courier New" w:cs="Courier New"/>
      <w:sz w:val="24"/>
      <w:szCs w:val="24"/>
      <w:lang w:val="en-US"/>
    </w:rPr>
  </w:style>
  <w:style w:type="paragraph" w:customStyle="1" w:styleId="Teknisk4">
    <w:name w:val="Teknisk 4"/>
    <w:uiPriority w:val="99"/>
    <w:rsid w:val="00885E97"/>
    <w:pPr>
      <w:tabs>
        <w:tab w:val="left" w:pos="-720"/>
      </w:tabs>
      <w:suppressAutoHyphens/>
    </w:pPr>
    <w:rPr>
      <w:rFonts w:ascii="Courier New" w:hAnsi="Courier New" w:cs="Courier New"/>
      <w:b/>
      <w:bCs/>
      <w:sz w:val="24"/>
      <w:szCs w:val="24"/>
      <w:lang w:val="en-US"/>
    </w:rPr>
  </w:style>
  <w:style w:type="paragraph" w:customStyle="1" w:styleId="innh6">
    <w:name w:val="innh 6"/>
    <w:basedOn w:val="Normal"/>
    <w:uiPriority w:val="99"/>
    <w:rsid w:val="00885E97"/>
    <w:pPr>
      <w:tabs>
        <w:tab w:val="right" w:pos="9360"/>
      </w:tabs>
      <w:suppressAutoHyphens/>
      <w:ind w:left="720" w:hanging="720"/>
    </w:pPr>
    <w:rPr>
      <w:lang w:val="en-US"/>
    </w:rPr>
  </w:style>
  <w:style w:type="paragraph" w:styleId="Brdtekst">
    <w:name w:val="Body Text"/>
    <w:basedOn w:val="Normal"/>
    <w:link w:val="BrdtekstTegn"/>
    <w:uiPriority w:val="99"/>
    <w:rsid w:val="00885E97"/>
    <w:rPr>
      <w:i/>
      <w:iCs/>
    </w:rPr>
  </w:style>
  <w:style w:type="character" w:customStyle="1" w:styleId="BrdtekstTegn">
    <w:name w:val="Brødtekst Tegn"/>
    <w:basedOn w:val="Standardskriftforavsnitt"/>
    <w:link w:val="Brdtekst"/>
    <w:uiPriority w:val="99"/>
    <w:semiHidden/>
    <w:rsid w:val="000751FF"/>
    <w:rPr>
      <w:sz w:val="24"/>
      <w:szCs w:val="24"/>
    </w:rPr>
  </w:style>
  <w:style w:type="paragraph" w:styleId="Brdtekstinnrykk">
    <w:name w:val="Body Text Indent"/>
    <w:basedOn w:val="Normal"/>
    <w:link w:val="BrdtekstinnrykkTegn"/>
    <w:uiPriority w:val="99"/>
    <w:rsid w:val="00885E97"/>
    <w:pPr>
      <w:ind w:left="720" w:hanging="720"/>
    </w:pPr>
    <w:rPr>
      <w:i/>
      <w:iCs/>
    </w:rPr>
  </w:style>
  <w:style w:type="character" w:customStyle="1" w:styleId="BrdtekstinnrykkTegn">
    <w:name w:val="Brødtekstinnrykk Tegn"/>
    <w:basedOn w:val="Standardskriftforavsnitt"/>
    <w:link w:val="Brdtekstinnrykk"/>
    <w:uiPriority w:val="99"/>
    <w:semiHidden/>
    <w:rsid w:val="000751FF"/>
    <w:rPr>
      <w:sz w:val="24"/>
      <w:szCs w:val="24"/>
    </w:rPr>
  </w:style>
  <w:style w:type="paragraph" w:styleId="Bobletekst">
    <w:name w:val="Balloon Text"/>
    <w:basedOn w:val="Normal"/>
    <w:link w:val="BobletekstTegn"/>
    <w:uiPriority w:val="99"/>
    <w:semiHidden/>
    <w:rsid w:val="00E84383"/>
    <w:rPr>
      <w:rFonts w:ascii="Tahoma" w:hAnsi="Tahoma" w:cs="Tahoma"/>
      <w:sz w:val="16"/>
      <w:szCs w:val="16"/>
    </w:rPr>
  </w:style>
  <w:style w:type="character" w:customStyle="1" w:styleId="BobletekstTegn">
    <w:name w:val="Bobletekst Tegn"/>
    <w:basedOn w:val="Standardskriftforavsnitt"/>
    <w:link w:val="Bobletekst"/>
    <w:uiPriority w:val="99"/>
    <w:semiHidden/>
    <w:rsid w:val="000751FF"/>
    <w:rPr>
      <w:sz w:val="2"/>
      <w:szCs w:val="2"/>
    </w:rPr>
  </w:style>
  <w:style w:type="paragraph" w:styleId="Fotnotetekst">
    <w:name w:val="footnote text"/>
    <w:basedOn w:val="Normal"/>
    <w:link w:val="FotnotetekstTegn"/>
    <w:uiPriority w:val="99"/>
    <w:semiHidden/>
    <w:rsid w:val="00E30EB8"/>
    <w:rPr>
      <w:sz w:val="20"/>
      <w:szCs w:val="20"/>
    </w:rPr>
  </w:style>
  <w:style w:type="character" w:customStyle="1" w:styleId="FotnotetekstTegn">
    <w:name w:val="Fotnotetekst Tegn"/>
    <w:basedOn w:val="Standardskriftforavsnitt"/>
    <w:link w:val="Fotnotetekst"/>
    <w:uiPriority w:val="99"/>
    <w:semiHidden/>
    <w:rsid w:val="000751FF"/>
    <w:rPr>
      <w:sz w:val="20"/>
      <w:szCs w:val="20"/>
    </w:rPr>
  </w:style>
  <w:style w:type="character" w:styleId="Fotnotereferanse">
    <w:name w:val="footnote reference"/>
    <w:basedOn w:val="Standardskriftforavsnitt"/>
    <w:uiPriority w:val="99"/>
    <w:semiHidden/>
    <w:rsid w:val="00E30EB8"/>
    <w:rPr>
      <w:vertAlign w:val="superscript"/>
    </w:rPr>
  </w:style>
  <w:style w:type="character" w:styleId="Merknadsreferanse">
    <w:name w:val="annotation reference"/>
    <w:basedOn w:val="Standardskriftforavsnitt"/>
    <w:uiPriority w:val="99"/>
    <w:semiHidden/>
    <w:rsid w:val="008A12F9"/>
    <w:rPr>
      <w:sz w:val="16"/>
      <w:szCs w:val="16"/>
    </w:rPr>
  </w:style>
  <w:style w:type="paragraph" w:styleId="Merknadstekst">
    <w:name w:val="annotation text"/>
    <w:basedOn w:val="Normal"/>
    <w:link w:val="MerknadstekstTegn"/>
    <w:uiPriority w:val="99"/>
    <w:semiHidden/>
    <w:rsid w:val="008A12F9"/>
    <w:rPr>
      <w:sz w:val="20"/>
      <w:szCs w:val="20"/>
    </w:rPr>
  </w:style>
  <w:style w:type="character" w:customStyle="1" w:styleId="MerknadstekstTegn">
    <w:name w:val="Merknadstekst Tegn"/>
    <w:basedOn w:val="Standardskriftforavsnitt"/>
    <w:link w:val="Merknadstekst"/>
    <w:uiPriority w:val="99"/>
    <w:semiHidden/>
    <w:rsid w:val="008A12F9"/>
  </w:style>
  <w:style w:type="paragraph" w:styleId="Kommentaremne">
    <w:name w:val="annotation subject"/>
    <w:basedOn w:val="Merknadstekst"/>
    <w:next w:val="Merknadstekst"/>
    <w:link w:val="KommentaremneTegn"/>
    <w:uiPriority w:val="99"/>
    <w:semiHidden/>
    <w:rsid w:val="008A12F9"/>
    <w:rPr>
      <w:b/>
      <w:bCs/>
    </w:rPr>
  </w:style>
  <w:style w:type="character" w:customStyle="1" w:styleId="KommentaremneTegn">
    <w:name w:val="Kommentaremne Tegn"/>
    <w:basedOn w:val="MerknadstekstTegn"/>
    <w:link w:val="Kommentaremne"/>
    <w:uiPriority w:val="99"/>
    <w:semiHidden/>
    <w:rsid w:val="008A12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63"/>
    <w:rPr>
      <w:sz w:val="24"/>
      <w:szCs w:val="24"/>
    </w:rPr>
  </w:style>
  <w:style w:type="paragraph" w:styleId="Overskrift1">
    <w:name w:val="heading 1"/>
    <w:basedOn w:val="Normal"/>
    <w:next w:val="Normal"/>
    <w:link w:val="Overskrift1Tegn"/>
    <w:uiPriority w:val="99"/>
    <w:qFormat/>
    <w:rsid w:val="002942E8"/>
    <w:pPr>
      <w:keepNext/>
      <w:pBdr>
        <w:bottom w:val="single" w:sz="48" w:space="1" w:color="auto"/>
      </w:pBdr>
      <w:ind w:left="6237" w:right="425"/>
      <w:outlineLvl w:val="0"/>
    </w:pPr>
    <w:rPr>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0751FF"/>
    <w:rPr>
      <w:rFonts w:ascii="Cambria" w:hAnsi="Cambria" w:cs="Cambria"/>
      <w:b/>
      <w:bCs/>
      <w:kern w:val="32"/>
      <w:sz w:val="32"/>
      <w:szCs w:val="32"/>
    </w:rPr>
  </w:style>
  <w:style w:type="paragraph" w:styleId="Topptekst">
    <w:name w:val="header"/>
    <w:basedOn w:val="Normal"/>
    <w:link w:val="TopptekstTegn"/>
    <w:uiPriority w:val="99"/>
    <w:rsid w:val="002942E8"/>
    <w:pPr>
      <w:tabs>
        <w:tab w:val="center" w:pos="4536"/>
        <w:tab w:val="right" w:pos="9072"/>
      </w:tabs>
    </w:pPr>
  </w:style>
  <w:style w:type="character" w:customStyle="1" w:styleId="TopptekstTegn">
    <w:name w:val="Topptekst Tegn"/>
    <w:basedOn w:val="Standardskriftforavsnitt"/>
    <w:link w:val="Topptekst"/>
    <w:uiPriority w:val="99"/>
    <w:semiHidden/>
    <w:rsid w:val="000751FF"/>
    <w:rPr>
      <w:sz w:val="24"/>
      <w:szCs w:val="24"/>
    </w:rPr>
  </w:style>
  <w:style w:type="paragraph" w:styleId="Bunntekst">
    <w:name w:val="footer"/>
    <w:basedOn w:val="Normal"/>
    <w:link w:val="BunntekstTegn"/>
    <w:uiPriority w:val="99"/>
    <w:rsid w:val="002942E8"/>
    <w:pPr>
      <w:tabs>
        <w:tab w:val="center" w:pos="4536"/>
        <w:tab w:val="right" w:pos="9072"/>
      </w:tabs>
    </w:pPr>
  </w:style>
  <w:style w:type="character" w:customStyle="1" w:styleId="BunntekstTegn">
    <w:name w:val="Bunntekst Tegn"/>
    <w:basedOn w:val="Standardskriftforavsnitt"/>
    <w:link w:val="Bunntekst"/>
    <w:uiPriority w:val="99"/>
    <w:semiHidden/>
    <w:rsid w:val="000751FF"/>
    <w:rPr>
      <w:sz w:val="24"/>
      <w:szCs w:val="24"/>
    </w:rPr>
  </w:style>
  <w:style w:type="paragraph" w:customStyle="1" w:styleId="Tekst">
    <w:name w:val="Tekst"/>
    <w:uiPriority w:val="99"/>
    <w:rsid w:val="002942E8"/>
    <w:pPr>
      <w:ind w:left="1503"/>
    </w:pPr>
    <w:rPr>
      <w:noProof/>
      <w:sz w:val="24"/>
      <w:szCs w:val="24"/>
    </w:rPr>
  </w:style>
  <w:style w:type="paragraph" w:styleId="Sluttnotetekst">
    <w:name w:val="endnote text"/>
    <w:basedOn w:val="Normal"/>
    <w:link w:val="SluttnotetekstTegn"/>
    <w:uiPriority w:val="99"/>
    <w:semiHidden/>
    <w:rsid w:val="00885E97"/>
  </w:style>
  <w:style w:type="character" w:customStyle="1" w:styleId="SluttnotetekstTegn">
    <w:name w:val="Sluttnotetekst Tegn"/>
    <w:basedOn w:val="Standardskriftforavsnitt"/>
    <w:link w:val="Sluttnotetekst"/>
    <w:uiPriority w:val="99"/>
    <w:semiHidden/>
    <w:rsid w:val="000751FF"/>
    <w:rPr>
      <w:sz w:val="20"/>
      <w:szCs w:val="20"/>
    </w:rPr>
  </w:style>
  <w:style w:type="paragraph" w:customStyle="1" w:styleId="AvsntilhQy1">
    <w:name w:val="Avsn til hÀQÀy 1"/>
    <w:uiPriority w:val="99"/>
    <w:rsid w:val="00885E97"/>
    <w:pPr>
      <w:tabs>
        <w:tab w:val="left" w:pos="-720"/>
        <w:tab w:val="left" w:pos="0"/>
        <w:tab w:val="decimal" w:pos="720"/>
      </w:tabs>
      <w:suppressAutoHyphens/>
      <w:ind w:left="720"/>
    </w:pPr>
    <w:rPr>
      <w:rFonts w:ascii="Courier New" w:hAnsi="Courier New" w:cs="Courier New"/>
      <w:sz w:val="24"/>
      <w:szCs w:val="24"/>
      <w:lang w:val="en-US"/>
    </w:rPr>
  </w:style>
  <w:style w:type="paragraph" w:customStyle="1" w:styleId="Teknisk4">
    <w:name w:val="Teknisk 4"/>
    <w:uiPriority w:val="99"/>
    <w:rsid w:val="00885E97"/>
    <w:pPr>
      <w:tabs>
        <w:tab w:val="left" w:pos="-720"/>
      </w:tabs>
      <w:suppressAutoHyphens/>
    </w:pPr>
    <w:rPr>
      <w:rFonts w:ascii="Courier New" w:hAnsi="Courier New" w:cs="Courier New"/>
      <w:b/>
      <w:bCs/>
      <w:sz w:val="24"/>
      <w:szCs w:val="24"/>
      <w:lang w:val="en-US"/>
    </w:rPr>
  </w:style>
  <w:style w:type="paragraph" w:customStyle="1" w:styleId="innh6">
    <w:name w:val="innh 6"/>
    <w:basedOn w:val="Normal"/>
    <w:uiPriority w:val="99"/>
    <w:rsid w:val="00885E97"/>
    <w:pPr>
      <w:tabs>
        <w:tab w:val="right" w:pos="9360"/>
      </w:tabs>
      <w:suppressAutoHyphens/>
      <w:ind w:left="720" w:hanging="720"/>
    </w:pPr>
    <w:rPr>
      <w:lang w:val="en-US"/>
    </w:rPr>
  </w:style>
  <w:style w:type="paragraph" w:styleId="Brdtekst">
    <w:name w:val="Body Text"/>
    <w:basedOn w:val="Normal"/>
    <w:link w:val="BrdtekstTegn"/>
    <w:uiPriority w:val="99"/>
    <w:rsid w:val="00885E97"/>
    <w:rPr>
      <w:i/>
      <w:iCs/>
    </w:rPr>
  </w:style>
  <w:style w:type="character" w:customStyle="1" w:styleId="BrdtekstTegn">
    <w:name w:val="Brødtekst Tegn"/>
    <w:basedOn w:val="Standardskriftforavsnitt"/>
    <w:link w:val="Brdtekst"/>
    <w:uiPriority w:val="99"/>
    <w:semiHidden/>
    <w:rsid w:val="000751FF"/>
    <w:rPr>
      <w:sz w:val="24"/>
      <w:szCs w:val="24"/>
    </w:rPr>
  </w:style>
  <w:style w:type="paragraph" w:styleId="Brdtekstinnrykk">
    <w:name w:val="Body Text Indent"/>
    <w:basedOn w:val="Normal"/>
    <w:link w:val="BrdtekstinnrykkTegn"/>
    <w:uiPriority w:val="99"/>
    <w:rsid w:val="00885E97"/>
    <w:pPr>
      <w:ind w:left="720" w:hanging="720"/>
    </w:pPr>
    <w:rPr>
      <w:i/>
      <w:iCs/>
    </w:rPr>
  </w:style>
  <w:style w:type="character" w:customStyle="1" w:styleId="BrdtekstinnrykkTegn">
    <w:name w:val="Brødtekstinnrykk Tegn"/>
    <w:basedOn w:val="Standardskriftforavsnitt"/>
    <w:link w:val="Brdtekstinnrykk"/>
    <w:uiPriority w:val="99"/>
    <w:semiHidden/>
    <w:rsid w:val="000751FF"/>
    <w:rPr>
      <w:sz w:val="24"/>
      <w:szCs w:val="24"/>
    </w:rPr>
  </w:style>
  <w:style w:type="paragraph" w:styleId="Bobletekst">
    <w:name w:val="Balloon Text"/>
    <w:basedOn w:val="Normal"/>
    <w:link w:val="BobletekstTegn"/>
    <w:uiPriority w:val="99"/>
    <w:semiHidden/>
    <w:rsid w:val="00E84383"/>
    <w:rPr>
      <w:rFonts w:ascii="Tahoma" w:hAnsi="Tahoma" w:cs="Tahoma"/>
      <w:sz w:val="16"/>
      <w:szCs w:val="16"/>
    </w:rPr>
  </w:style>
  <w:style w:type="character" w:customStyle="1" w:styleId="BobletekstTegn">
    <w:name w:val="Bobletekst Tegn"/>
    <w:basedOn w:val="Standardskriftforavsnitt"/>
    <w:link w:val="Bobletekst"/>
    <w:uiPriority w:val="99"/>
    <w:semiHidden/>
    <w:rsid w:val="000751FF"/>
    <w:rPr>
      <w:sz w:val="2"/>
      <w:szCs w:val="2"/>
    </w:rPr>
  </w:style>
  <w:style w:type="paragraph" w:styleId="Fotnotetekst">
    <w:name w:val="footnote text"/>
    <w:basedOn w:val="Normal"/>
    <w:link w:val="FotnotetekstTegn"/>
    <w:uiPriority w:val="99"/>
    <w:semiHidden/>
    <w:rsid w:val="00E30EB8"/>
    <w:rPr>
      <w:sz w:val="20"/>
      <w:szCs w:val="20"/>
    </w:rPr>
  </w:style>
  <w:style w:type="character" w:customStyle="1" w:styleId="FotnotetekstTegn">
    <w:name w:val="Fotnotetekst Tegn"/>
    <w:basedOn w:val="Standardskriftforavsnitt"/>
    <w:link w:val="Fotnotetekst"/>
    <w:uiPriority w:val="99"/>
    <w:semiHidden/>
    <w:rsid w:val="000751FF"/>
    <w:rPr>
      <w:sz w:val="20"/>
      <w:szCs w:val="20"/>
    </w:rPr>
  </w:style>
  <w:style w:type="character" w:styleId="Fotnotereferanse">
    <w:name w:val="footnote reference"/>
    <w:basedOn w:val="Standardskriftforavsnitt"/>
    <w:uiPriority w:val="99"/>
    <w:semiHidden/>
    <w:rsid w:val="00E30EB8"/>
    <w:rPr>
      <w:vertAlign w:val="superscript"/>
    </w:rPr>
  </w:style>
  <w:style w:type="character" w:styleId="Merknadsreferanse">
    <w:name w:val="annotation reference"/>
    <w:basedOn w:val="Standardskriftforavsnitt"/>
    <w:uiPriority w:val="99"/>
    <w:semiHidden/>
    <w:rsid w:val="008A12F9"/>
    <w:rPr>
      <w:sz w:val="16"/>
      <w:szCs w:val="16"/>
    </w:rPr>
  </w:style>
  <w:style w:type="paragraph" w:styleId="Merknadstekst">
    <w:name w:val="annotation text"/>
    <w:basedOn w:val="Normal"/>
    <w:link w:val="MerknadstekstTegn"/>
    <w:uiPriority w:val="99"/>
    <w:semiHidden/>
    <w:rsid w:val="008A12F9"/>
    <w:rPr>
      <w:sz w:val="20"/>
      <w:szCs w:val="20"/>
    </w:rPr>
  </w:style>
  <w:style w:type="character" w:customStyle="1" w:styleId="MerknadstekstTegn">
    <w:name w:val="Merknadstekst Tegn"/>
    <w:basedOn w:val="Standardskriftforavsnitt"/>
    <w:link w:val="Merknadstekst"/>
    <w:uiPriority w:val="99"/>
    <w:semiHidden/>
    <w:rsid w:val="008A12F9"/>
  </w:style>
  <w:style w:type="paragraph" w:styleId="Kommentaremne">
    <w:name w:val="annotation subject"/>
    <w:basedOn w:val="Merknadstekst"/>
    <w:next w:val="Merknadstekst"/>
    <w:link w:val="KommentaremneTegn"/>
    <w:uiPriority w:val="99"/>
    <w:semiHidden/>
    <w:rsid w:val="008A12F9"/>
    <w:rPr>
      <w:b/>
      <w:bCs/>
    </w:rPr>
  </w:style>
  <w:style w:type="character" w:customStyle="1" w:styleId="KommentaremneTegn">
    <w:name w:val="Kommentaremne Tegn"/>
    <w:basedOn w:val="MerknadstekstTegn"/>
    <w:link w:val="Kommentaremne"/>
    <w:uiPriority w:val="99"/>
    <w:semiHidden/>
    <w:rsid w:val="008A1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52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aler\dl-maler\Referat%20for%20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Referat for PER</Template>
  <TotalTime>6</TotalTime>
  <Pages>6</Pages>
  <Words>1376</Words>
  <Characters>9351</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Refrat for PER</vt:lpstr>
    </vt:vector>
  </TitlesOfParts>
  <Company>Oslo Kommune</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Refrat for PER</dc:title>
  <dc:creator>haraldne</dc:creator>
  <cp:lastModifiedBy>Administrator</cp:lastModifiedBy>
  <cp:revision>3</cp:revision>
  <cp:lastPrinted>2010-08-17T13:18:00Z</cp:lastPrinted>
  <dcterms:created xsi:type="dcterms:W3CDTF">2014-06-13T09:22:00Z</dcterms:created>
  <dcterms:modified xsi:type="dcterms:W3CDTF">2014-06-13T12:17:00Z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2008-08-28 13:11:54</vt:lpwstr>
  </property>
</Properties>
</file>